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F7" w:rsidRDefault="000E22F7" w:rsidP="000E22F7">
      <w:pPr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附件2</w:t>
      </w:r>
    </w:p>
    <w:p w:rsidR="000E22F7" w:rsidRPr="00FC3931" w:rsidRDefault="000E22F7" w:rsidP="000E22F7">
      <w:pPr>
        <w:pStyle w:val="1"/>
        <w:spacing w:before="480" w:after="480" w:line="240" w:lineRule="auto"/>
        <w:jc w:val="center"/>
        <w:rPr>
          <w:rFonts w:ascii="黑体" w:eastAsia="黑体" w:hAnsi="华文中宋"/>
          <w:sz w:val="32"/>
          <w:szCs w:val="32"/>
        </w:rPr>
      </w:pPr>
      <w:r w:rsidRPr="00FC3931">
        <w:rPr>
          <w:rFonts w:ascii="黑体" w:eastAsia="黑体" w:hAnsi="华文中宋" w:hint="eastAsia"/>
          <w:sz w:val="32"/>
          <w:szCs w:val="32"/>
        </w:rPr>
        <w:t>可容许风险值</w:t>
      </w:r>
    </w:p>
    <w:p w:rsidR="000E22F7" w:rsidRDefault="000E22F7" w:rsidP="000E22F7">
      <w:pPr>
        <w:rPr>
          <w:rFonts w:ascii="仿宋_GB2312" w:eastAsia="仿宋_GB2312" w:hAnsi="TimesNewRomanPSMT"/>
          <w:b/>
          <w:kern w:val="0"/>
          <w:sz w:val="32"/>
        </w:rPr>
      </w:pPr>
      <w:r>
        <w:rPr>
          <w:rFonts w:ascii="仿宋_GB2312" w:eastAsia="仿宋_GB2312" w:hAnsi="TimesNewRomanPSMT" w:hint="eastAsia"/>
          <w:b/>
          <w:kern w:val="0"/>
          <w:sz w:val="32"/>
        </w:rPr>
        <w:t>一、个人风险可容许风险值</w:t>
      </w:r>
    </w:p>
    <w:p w:rsidR="000E22F7" w:rsidRPr="00476268" w:rsidRDefault="000E22F7" w:rsidP="00476268">
      <w:pPr>
        <w:ind w:firstLineChars="200" w:firstLine="560"/>
        <w:rPr>
          <w:rFonts w:ascii="仿宋_GB2312" w:eastAsia="仿宋_GB2312" w:hAnsi="TimesNewRomanPSMT"/>
          <w:kern w:val="0"/>
          <w:sz w:val="28"/>
        </w:rPr>
      </w:pPr>
      <w:r w:rsidRPr="00476268">
        <w:rPr>
          <w:rFonts w:ascii="仿宋_GB2312" w:eastAsia="仿宋_GB2312" w:hAnsi="TimesNewRomanPSMT" w:hint="eastAsia"/>
          <w:kern w:val="0"/>
          <w:sz w:val="28"/>
        </w:rPr>
        <w:t>个人风险是指因港口重大危险</w:t>
      </w:r>
      <w:proofErr w:type="gramStart"/>
      <w:r w:rsidRPr="00476268">
        <w:rPr>
          <w:rFonts w:ascii="仿宋_GB2312" w:eastAsia="仿宋_GB2312" w:hAnsi="TimesNewRomanPSMT" w:hint="eastAsia"/>
          <w:kern w:val="0"/>
          <w:sz w:val="28"/>
        </w:rPr>
        <w:t>源各种</w:t>
      </w:r>
      <w:proofErr w:type="gramEnd"/>
      <w:r w:rsidRPr="00476268">
        <w:rPr>
          <w:rFonts w:ascii="仿宋_GB2312" w:eastAsia="仿宋_GB2312" w:hAnsi="TimesNewRomanPSMT" w:hint="eastAsia"/>
          <w:kern w:val="0"/>
          <w:sz w:val="28"/>
        </w:rPr>
        <w:t>潜在的火灾、爆炸、有毒气体泄漏事故造成区域内某一固定位置人员的个体死亡概率，即单位时间内（通常为年）的个体死亡率。通常用个人风险等值线表示。</w:t>
      </w:r>
    </w:p>
    <w:p w:rsidR="000E22F7" w:rsidRPr="00476268" w:rsidRDefault="000E22F7" w:rsidP="00476268">
      <w:pPr>
        <w:ind w:firstLineChars="200" w:firstLine="560"/>
        <w:rPr>
          <w:rFonts w:ascii="仿宋_GB2312" w:eastAsia="仿宋_GB2312" w:hAnsi="TimesNewRomanPSMT"/>
          <w:kern w:val="0"/>
          <w:sz w:val="28"/>
        </w:rPr>
      </w:pPr>
      <w:r w:rsidRPr="00476268">
        <w:rPr>
          <w:rFonts w:ascii="仿宋_GB2312" w:eastAsia="仿宋_GB2312" w:hAnsi="TimesNewRomanPSMT" w:hint="eastAsia"/>
          <w:kern w:val="0"/>
          <w:sz w:val="28"/>
        </w:rPr>
        <w:t>通过定量风险评价，港口重大危险源周边重要目标和敏感场所承受的个人风险应满足表1中可容许风险值要求。</w:t>
      </w:r>
    </w:p>
    <w:p w:rsidR="000E22F7" w:rsidRPr="00476268" w:rsidRDefault="000E22F7" w:rsidP="000E22F7">
      <w:pPr>
        <w:pStyle w:val="a3"/>
        <w:jc w:val="center"/>
        <w:rPr>
          <w:rFonts w:ascii="仿宋_GB2312" w:eastAsia="仿宋_GB2312" w:hAnsi="宋体"/>
          <w:sz w:val="28"/>
        </w:rPr>
      </w:pPr>
      <w:r w:rsidRPr="00476268">
        <w:rPr>
          <w:rFonts w:ascii="仿宋_GB2312" w:eastAsia="仿宋_GB2312" w:hAnsi="宋体" w:hint="eastAsia"/>
          <w:sz w:val="28"/>
        </w:rPr>
        <w:t>表1 个人风险可容许标准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3"/>
        <w:gridCol w:w="1701"/>
      </w:tblGrid>
      <w:tr w:rsidR="000E22F7" w:rsidRPr="00476268" w:rsidTr="003D3267">
        <w:trPr>
          <w:trHeight w:val="565"/>
          <w:jc w:val="center"/>
        </w:trPr>
        <w:tc>
          <w:tcPr>
            <w:tcW w:w="6703" w:type="dxa"/>
            <w:vAlign w:val="center"/>
          </w:tcPr>
          <w:p w:rsidR="000E22F7" w:rsidRPr="00476268" w:rsidRDefault="000E22F7" w:rsidP="003D3267">
            <w:pPr>
              <w:jc w:val="center"/>
              <w:rPr>
                <w:rFonts w:ascii="仿宋_GB2312" w:eastAsia="仿宋_GB2312"/>
                <w:sz w:val="28"/>
              </w:rPr>
            </w:pPr>
            <w:r w:rsidRPr="00476268">
              <w:rPr>
                <w:rFonts w:ascii="仿宋_GB2312" w:eastAsia="仿宋_GB2312" w:hint="eastAsia"/>
                <w:sz w:val="28"/>
              </w:rPr>
              <w:t>港口重大危险源周边重要目标和敏感场所类别</w:t>
            </w:r>
          </w:p>
        </w:tc>
        <w:tc>
          <w:tcPr>
            <w:tcW w:w="1701" w:type="dxa"/>
            <w:vAlign w:val="center"/>
          </w:tcPr>
          <w:p w:rsidR="000E22F7" w:rsidRPr="00476268" w:rsidRDefault="000E22F7" w:rsidP="003D326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476268">
              <w:rPr>
                <w:rFonts w:ascii="仿宋_GB2312" w:eastAsia="仿宋_GB2312" w:hint="eastAsia"/>
                <w:sz w:val="28"/>
              </w:rPr>
              <w:t>可容许风险</w:t>
            </w:r>
          </w:p>
          <w:p w:rsidR="000E22F7" w:rsidRPr="00476268" w:rsidRDefault="000E22F7" w:rsidP="003D326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476268">
              <w:rPr>
                <w:rFonts w:ascii="仿宋_GB2312" w:eastAsia="仿宋_GB2312" w:hint="eastAsia"/>
                <w:sz w:val="28"/>
              </w:rPr>
              <w:t>（/年）</w:t>
            </w:r>
          </w:p>
        </w:tc>
      </w:tr>
      <w:tr w:rsidR="000E22F7" w:rsidRPr="00476268" w:rsidTr="003D3267">
        <w:trPr>
          <w:trHeight w:val="1545"/>
          <w:jc w:val="center"/>
        </w:trPr>
        <w:tc>
          <w:tcPr>
            <w:tcW w:w="6703" w:type="dxa"/>
            <w:vAlign w:val="center"/>
          </w:tcPr>
          <w:p w:rsidR="000E22F7" w:rsidRPr="00476268" w:rsidRDefault="000E22F7" w:rsidP="003D3267">
            <w:pPr>
              <w:snapToGrid w:val="0"/>
              <w:rPr>
                <w:rFonts w:ascii="仿宋_GB2312" w:eastAsia="仿宋_GB2312" w:hAnsi="宋体"/>
                <w:kern w:val="0"/>
                <w:sz w:val="28"/>
              </w:rPr>
            </w:pPr>
            <w:r w:rsidRPr="00476268">
              <w:rPr>
                <w:rFonts w:ascii="仿宋_GB2312" w:eastAsia="仿宋_GB2312" w:hAnsi="宋体" w:hint="eastAsia"/>
                <w:kern w:val="0"/>
                <w:sz w:val="28"/>
              </w:rPr>
              <w:t>1、高敏感场所（如学校、医院、幼儿园、养老院等）；</w:t>
            </w:r>
          </w:p>
          <w:p w:rsidR="000E22F7" w:rsidRPr="00476268" w:rsidRDefault="000E22F7" w:rsidP="00476268">
            <w:pPr>
              <w:snapToGrid w:val="0"/>
              <w:ind w:left="406" w:hangingChars="145" w:hanging="406"/>
              <w:rPr>
                <w:rFonts w:ascii="仿宋_GB2312" w:eastAsia="仿宋_GB2312" w:hAnsi="宋体"/>
                <w:kern w:val="0"/>
                <w:sz w:val="28"/>
              </w:rPr>
            </w:pPr>
            <w:r w:rsidRPr="00476268">
              <w:rPr>
                <w:rFonts w:ascii="仿宋_GB2312" w:eastAsia="仿宋_GB2312" w:hAnsi="宋体" w:hint="eastAsia"/>
                <w:kern w:val="0"/>
                <w:sz w:val="28"/>
              </w:rPr>
              <w:t>2、重要目标（如</w:t>
            </w:r>
            <w:r w:rsidRPr="00476268">
              <w:rPr>
                <w:rFonts w:ascii="仿宋_GB2312" w:eastAsia="仿宋_GB2312" w:hint="eastAsia"/>
                <w:sz w:val="28"/>
              </w:rPr>
              <w:t>党政机关、军事禁区、军事管理区、文物保护单位等</w:t>
            </w:r>
            <w:r w:rsidRPr="00476268">
              <w:rPr>
                <w:rFonts w:ascii="仿宋_GB2312" w:eastAsia="仿宋_GB2312" w:hAnsi="宋体" w:hint="eastAsia"/>
                <w:kern w:val="0"/>
                <w:sz w:val="28"/>
              </w:rPr>
              <w:t>）；</w:t>
            </w:r>
          </w:p>
          <w:p w:rsidR="000E22F7" w:rsidRPr="00476268" w:rsidRDefault="000E22F7" w:rsidP="00476268">
            <w:pPr>
              <w:snapToGrid w:val="0"/>
              <w:ind w:left="406" w:hangingChars="145" w:hanging="406"/>
              <w:rPr>
                <w:rFonts w:ascii="仿宋_GB2312" w:eastAsia="仿宋_GB2312"/>
                <w:sz w:val="28"/>
              </w:rPr>
            </w:pPr>
            <w:r w:rsidRPr="00476268">
              <w:rPr>
                <w:rFonts w:ascii="仿宋_GB2312" w:eastAsia="仿宋_GB2312" w:hAnsi="宋体" w:hint="eastAsia"/>
                <w:kern w:val="0"/>
                <w:sz w:val="28"/>
              </w:rPr>
              <w:t>3、特殊高密度场所（如大型体育场、大型交通枢纽、大型露天市场等）。</w:t>
            </w:r>
          </w:p>
        </w:tc>
        <w:tc>
          <w:tcPr>
            <w:tcW w:w="1701" w:type="dxa"/>
            <w:vAlign w:val="center"/>
          </w:tcPr>
          <w:p w:rsidR="000E22F7" w:rsidRPr="00476268" w:rsidRDefault="000E22F7" w:rsidP="003D3267">
            <w:pPr>
              <w:jc w:val="center"/>
              <w:rPr>
                <w:rFonts w:ascii="仿宋_GB2312" w:eastAsia="仿宋_GB2312"/>
                <w:sz w:val="28"/>
              </w:rPr>
            </w:pPr>
            <w:r w:rsidRPr="00476268">
              <w:rPr>
                <w:rFonts w:ascii="仿宋_GB2312" w:eastAsia="仿宋_GB2312" w:hint="eastAsia"/>
                <w:sz w:val="28"/>
              </w:rPr>
              <w:t>&lt;3</w:t>
            </w:r>
            <w:r w:rsidRPr="00476268">
              <w:rPr>
                <w:rFonts w:ascii="仿宋_GB2312" w:eastAsia="仿宋_GB2312" w:hint="eastAsia"/>
                <w:sz w:val="28"/>
              </w:rPr>
              <w:sym w:font="Symbol" w:char="F0B4"/>
            </w:r>
            <w:r w:rsidRPr="00476268">
              <w:rPr>
                <w:rFonts w:ascii="仿宋_GB2312" w:eastAsia="仿宋_GB2312" w:hint="eastAsia"/>
                <w:sz w:val="28"/>
              </w:rPr>
              <w:t>10</w:t>
            </w:r>
            <w:r w:rsidRPr="00476268">
              <w:rPr>
                <w:rFonts w:ascii="仿宋_GB2312" w:eastAsia="仿宋_GB2312" w:hint="eastAsia"/>
                <w:sz w:val="28"/>
                <w:vertAlign w:val="superscript"/>
              </w:rPr>
              <w:t>-7</w:t>
            </w:r>
          </w:p>
        </w:tc>
      </w:tr>
      <w:tr w:rsidR="000E22F7" w:rsidRPr="00476268" w:rsidTr="003D3267">
        <w:trPr>
          <w:trHeight w:val="802"/>
          <w:jc w:val="center"/>
        </w:trPr>
        <w:tc>
          <w:tcPr>
            <w:tcW w:w="6703" w:type="dxa"/>
            <w:vAlign w:val="center"/>
          </w:tcPr>
          <w:p w:rsidR="000E22F7" w:rsidRPr="00476268" w:rsidRDefault="000E22F7" w:rsidP="003D3267">
            <w:pPr>
              <w:snapToGrid w:val="0"/>
              <w:rPr>
                <w:rFonts w:ascii="仿宋_GB2312" w:eastAsia="仿宋_GB2312" w:hAnsi="宋体"/>
                <w:kern w:val="0"/>
                <w:sz w:val="28"/>
              </w:rPr>
            </w:pPr>
            <w:r w:rsidRPr="00476268">
              <w:rPr>
                <w:rFonts w:ascii="仿宋_GB2312" w:eastAsia="仿宋_GB2312" w:hAnsi="宋体" w:hint="eastAsia"/>
                <w:kern w:val="0"/>
                <w:sz w:val="28"/>
              </w:rPr>
              <w:t>1、居住类高密度场所（如居民区、宾馆、度假村等）；</w:t>
            </w:r>
          </w:p>
          <w:p w:rsidR="000E22F7" w:rsidRPr="00476268" w:rsidRDefault="000E22F7" w:rsidP="00476268">
            <w:pPr>
              <w:snapToGrid w:val="0"/>
              <w:ind w:left="406" w:hangingChars="145" w:hanging="406"/>
              <w:rPr>
                <w:rFonts w:ascii="仿宋_GB2312" w:eastAsia="仿宋_GB2312"/>
                <w:sz w:val="28"/>
              </w:rPr>
            </w:pPr>
            <w:r w:rsidRPr="00476268">
              <w:rPr>
                <w:rFonts w:ascii="仿宋_GB2312" w:eastAsia="仿宋_GB2312" w:hAnsi="宋体" w:hint="eastAsia"/>
                <w:kern w:val="0"/>
                <w:sz w:val="28"/>
              </w:rPr>
              <w:t>2、公众聚集类高密度场所（如办公场所、商场、饭店、娱乐场所、公园、广场等）。</w:t>
            </w:r>
          </w:p>
        </w:tc>
        <w:tc>
          <w:tcPr>
            <w:tcW w:w="1701" w:type="dxa"/>
            <w:vAlign w:val="center"/>
          </w:tcPr>
          <w:p w:rsidR="000E22F7" w:rsidRPr="00476268" w:rsidRDefault="000E22F7" w:rsidP="003D3267">
            <w:pPr>
              <w:jc w:val="center"/>
              <w:rPr>
                <w:rFonts w:ascii="仿宋_GB2312" w:eastAsia="仿宋_GB2312"/>
                <w:sz w:val="28"/>
              </w:rPr>
            </w:pPr>
            <w:r w:rsidRPr="00476268">
              <w:rPr>
                <w:rFonts w:ascii="仿宋_GB2312" w:eastAsia="仿宋_GB2312" w:hint="eastAsia"/>
                <w:sz w:val="28"/>
              </w:rPr>
              <w:t>&lt;1</w:t>
            </w:r>
            <w:r w:rsidRPr="00476268">
              <w:rPr>
                <w:rFonts w:ascii="仿宋_GB2312" w:eastAsia="仿宋_GB2312" w:hint="eastAsia"/>
                <w:sz w:val="28"/>
              </w:rPr>
              <w:sym w:font="Symbol" w:char="F0B4"/>
            </w:r>
            <w:r w:rsidRPr="00476268">
              <w:rPr>
                <w:rFonts w:ascii="仿宋_GB2312" w:eastAsia="仿宋_GB2312" w:hint="eastAsia"/>
                <w:sz w:val="28"/>
              </w:rPr>
              <w:t>10</w:t>
            </w:r>
            <w:r w:rsidRPr="00476268">
              <w:rPr>
                <w:rFonts w:ascii="仿宋_GB2312" w:eastAsia="仿宋_GB2312" w:hint="eastAsia"/>
                <w:sz w:val="28"/>
                <w:vertAlign w:val="superscript"/>
              </w:rPr>
              <w:t>-6</w:t>
            </w:r>
          </w:p>
        </w:tc>
      </w:tr>
    </w:tbl>
    <w:p w:rsidR="000E22F7" w:rsidRDefault="000E22F7" w:rsidP="000E22F7">
      <w:pPr>
        <w:ind w:firstLineChars="200" w:firstLine="422"/>
        <w:rPr>
          <w:rFonts w:ascii="仿宋_GB2312" w:eastAsia="仿宋_GB2312" w:hAnsi="宋体"/>
          <w:b/>
          <w:kern w:val="0"/>
        </w:rPr>
      </w:pPr>
    </w:p>
    <w:p w:rsidR="000E22F7" w:rsidRDefault="000E22F7" w:rsidP="000E22F7">
      <w:pPr>
        <w:rPr>
          <w:rFonts w:ascii="仿宋_GB2312" w:eastAsia="仿宋_GB2312" w:hAnsi="TimesNewRomanPSMT"/>
          <w:b/>
          <w:kern w:val="0"/>
          <w:sz w:val="32"/>
        </w:rPr>
      </w:pPr>
      <w:r>
        <w:rPr>
          <w:rFonts w:ascii="仿宋_GB2312" w:eastAsia="仿宋_GB2312" w:hAnsi="TimesNewRomanPSMT" w:hint="eastAsia"/>
          <w:b/>
          <w:kern w:val="0"/>
          <w:sz w:val="32"/>
        </w:rPr>
        <w:t>二、社会风险可容许风险值</w:t>
      </w:r>
    </w:p>
    <w:p w:rsidR="000E22F7" w:rsidRPr="00476268" w:rsidRDefault="000E22F7" w:rsidP="00476268">
      <w:pPr>
        <w:ind w:firstLineChars="200" w:firstLine="560"/>
        <w:rPr>
          <w:rFonts w:ascii="仿宋_GB2312" w:eastAsia="仿宋_GB2312" w:hAnsi="TimesNewRomanPSMT"/>
          <w:kern w:val="0"/>
          <w:sz w:val="28"/>
        </w:rPr>
      </w:pPr>
      <w:r w:rsidRPr="00476268">
        <w:rPr>
          <w:rFonts w:ascii="仿宋_GB2312" w:eastAsia="仿宋_GB2312" w:hAnsi="TimesNewRomanPSMT" w:hint="eastAsia"/>
          <w:kern w:val="0"/>
          <w:sz w:val="28"/>
        </w:rPr>
        <w:t>社会风险是指能够引起大于等于N人死亡的事故累积频率（F），也即单位时间内（通常为年）的死亡人数。常用社会风险曲线（F-N曲线）表示。</w:t>
      </w:r>
    </w:p>
    <w:p w:rsidR="000E22F7" w:rsidRPr="00476268" w:rsidRDefault="000E22F7" w:rsidP="00476268">
      <w:pPr>
        <w:ind w:firstLineChars="200" w:firstLine="560"/>
        <w:rPr>
          <w:rFonts w:ascii="仿宋_GB2312" w:eastAsia="仿宋_GB2312"/>
          <w:sz w:val="28"/>
        </w:rPr>
      </w:pPr>
      <w:r w:rsidRPr="00476268">
        <w:rPr>
          <w:rFonts w:ascii="仿宋_GB2312" w:eastAsia="仿宋_GB2312" w:hint="eastAsia"/>
          <w:sz w:val="28"/>
        </w:rPr>
        <w:t>社会风险标准采用ALARP（As Low As Reasonable Practice）</w:t>
      </w:r>
      <w:r w:rsidRPr="00476268">
        <w:rPr>
          <w:rFonts w:ascii="仿宋_GB2312" w:eastAsia="仿宋_GB2312" w:hint="eastAsia"/>
          <w:sz w:val="28"/>
        </w:rPr>
        <w:lastRenderedPageBreak/>
        <w:t>原则作为可接受原则。ALARP原则通过两个风险分界线将风险划分为3个区域，即：不可容许区、尽可能降低区（ALARP）和</w:t>
      </w:r>
      <w:proofErr w:type="gramStart"/>
      <w:r w:rsidRPr="00476268">
        <w:rPr>
          <w:rFonts w:ascii="仿宋_GB2312" w:eastAsia="仿宋_GB2312" w:hint="eastAsia"/>
          <w:sz w:val="28"/>
        </w:rPr>
        <w:t>可</w:t>
      </w:r>
      <w:proofErr w:type="gramEnd"/>
      <w:r w:rsidRPr="00476268">
        <w:rPr>
          <w:rFonts w:ascii="仿宋_GB2312" w:eastAsia="仿宋_GB2312" w:hint="eastAsia"/>
          <w:sz w:val="28"/>
        </w:rPr>
        <w:t>容许区。</w:t>
      </w:r>
    </w:p>
    <w:p w:rsidR="000E22F7" w:rsidRPr="00476268" w:rsidRDefault="000E22F7" w:rsidP="00476268">
      <w:pPr>
        <w:ind w:firstLineChars="200" w:firstLine="560"/>
        <w:rPr>
          <w:rFonts w:ascii="仿宋_GB2312" w:eastAsia="仿宋_GB2312"/>
          <w:color w:val="FF0000"/>
          <w:sz w:val="28"/>
        </w:rPr>
      </w:pPr>
      <w:r w:rsidRPr="00476268">
        <w:rPr>
          <w:rFonts w:ascii="仿宋_GB2312" w:eastAsia="仿宋_GB2312" w:hint="eastAsia"/>
          <w:sz w:val="28"/>
        </w:rPr>
        <w:t>①若社会风险曲线落在不可容许区，除特殊情况外，该风险无论如何不能被接受。</w:t>
      </w:r>
    </w:p>
    <w:p w:rsidR="000E22F7" w:rsidRPr="00476268" w:rsidRDefault="000E22F7" w:rsidP="00476268">
      <w:pPr>
        <w:ind w:firstLineChars="200" w:firstLine="560"/>
        <w:rPr>
          <w:rFonts w:ascii="仿宋_GB2312" w:eastAsia="仿宋_GB2312"/>
          <w:sz w:val="28"/>
        </w:rPr>
      </w:pPr>
      <w:r w:rsidRPr="00476268">
        <w:rPr>
          <w:rFonts w:ascii="仿宋_GB2312" w:eastAsia="仿宋_GB2312" w:hint="eastAsia"/>
          <w:sz w:val="28"/>
        </w:rPr>
        <w:t>②若落在可容许区，风险处于很低的水平，该风险是可以被接受的，无需采取安全改进措施。</w:t>
      </w:r>
    </w:p>
    <w:p w:rsidR="000E22F7" w:rsidRPr="00476268" w:rsidRDefault="000E22F7" w:rsidP="00476268">
      <w:pPr>
        <w:ind w:firstLineChars="200" w:firstLine="560"/>
        <w:rPr>
          <w:rFonts w:ascii="仿宋_GB2312" w:eastAsia="仿宋_GB2312"/>
          <w:sz w:val="28"/>
        </w:rPr>
      </w:pPr>
      <w:r w:rsidRPr="00476268">
        <w:rPr>
          <w:rFonts w:ascii="仿宋_GB2312" w:eastAsia="仿宋_GB2312" w:hint="eastAsia"/>
          <w:sz w:val="28"/>
        </w:rPr>
        <w:t>③若落在尽可能降低区，则需要在可能的情况下尽量减少风险，即对各种风险处理措施方案进行成本效益分析等，以决定是否采取这些措施。</w:t>
      </w:r>
    </w:p>
    <w:p w:rsidR="000E22F7" w:rsidRPr="00476268" w:rsidRDefault="000E22F7" w:rsidP="00476268">
      <w:pPr>
        <w:ind w:firstLineChars="200" w:firstLine="560"/>
        <w:rPr>
          <w:rFonts w:ascii="仿宋_GB2312" w:eastAsia="仿宋_GB2312" w:hAnsi="TimesNewRomanPSMT"/>
          <w:kern w:val="0"/>
          <w:sz w:val="28"/>
        </w:rPr>
      </w:pPr>
      <w:r w:rsidRPr="00476268">
        <w:rPr>
          <w:rFonts w:ascii="仿宋_GB2312" w:eastAsia="仿宋_GB2312" w:hAnsi="TimesNewRomanPSMT" w:hint="eastAsia"/>
          <w:kern w:val="0"/>
          <w:sz w:val="28"/>
        </w:rPr>
        <w:t>通过定量风险评价，港口危险货物重大危险</w:t>
      </w:r>
      <w:proofErr w:type="gramStart"/>
      <w:r w:rsidRPr="00476268">
        <w:rPr>
          <w:rFonts w:ascii="仿宋_GB2312" w:eastAsia="仿宋_GB2312" w:hAnsi="TimesNewRomanPSMT" w:hint="eastAsia"/>
          <w:kern w:val="0"/>
          <w:sz w:val="28"/>
        </w:rPr>
        <w:t>源产生</w:t>
      </w:r>
      <w:proofErr w:type="gramEnd"/>
      <w:r w:rsidRPr="00476268">
        <w:rPr>
          <w:rFonts w:ascii="仿宋_GB2312" w:eastAsia="仿宋_GB2312" w:hAnsi="TimesNewRomanPSMT" w:hint="eastAsia"/>
          <w:kern w:val="0"/>
          <w:sz w:val="28"/>
        </w:rPr>
        <w:t>的社会风险应满足图1中社会风险值要求。</w:t>
      </w:r>
    </w:p>
    <w:p w:rsidR="000E22F7" w:rsidRPr="00476268" w:rsidRDefault="000E22F7" w:rsidP="000E22F7">
      <w:pPr>
        <w:jc w:val="center"/>
        <w:rPr>
          <w:rFonts w:ascii="仿宋_GB2312" w:eastAsia="仿宋_GB2312"/>
        </w:rPr>
      </w:pPr>
      <w:r w:rsidRPr="00476268">
        <w:rPr>
          <w:rFonts w:ascii="仿宋_GB2312" w:eastAsia="仿宋_GB2312" w:hint="eastAsia"/>
          <w:noProof/>
        </w:rPr>
        <w:drawing>
          <wp:inline distT="0" distB="0" distL="0" distR="0">
            <wp:extent cx="4347845" cy="2976245"/>
            <wp:effectExtent l="19050" t="0" r="0" b="0"/>
            <wp:docPr id="2" name="图片 2" descr="社会风险许可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社会风险许可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297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4830" w:rsidRPr="00476268">
        <w:rPr>
          <w:rFonts w:ascii="仿宋_GB2312" w:eastAsia="仿宋_GB2312" w:hAnsi="宋体"/>
          <w:kern w:val="0"/>
        </w:rPr>
        <w:pict>
          <v:group id="_x0000_s1026" style="position:absolute;left:0;text-align:left;margin-left:128.2pt;margin-top:34.45pt;width:54.65pt;height:148.2pt;z-index:251658240;mso-position-horizontal-relative:text;mso-position-vertical-relative:text" coordsize="1093,29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;top:2652;width:1080;height:312" stroked="f">
              <v:textbox inset="0,0,0,0">
                <w:txbxContent>
                  <w:p w:rsidR="000E22F7" w:rsidRDefault="000E22F7" w:rsidP="000E22F7">
                    <w:pPr>
                      <w:jc w:val="center"/>
                    </w:pPr>
                    <w:r>
                      <w:rPr>
                        <w:rFonts w:hint="eastAsia"/>
                        <w:sz w:val="18"/>
                      </w:rPr>
                      <w:t>可容许区</w:t>
                    </w:r>
                  </w:p>
                </w:txbxContent>
              </v:textbox>
            </v:shape>
            <v:shape id="_x0000_s1028" type="#_x0000_t202" style="position:absolute;left:11;top:1248;width:1080;height:312" stroked="f">
              <v:textbox inset="0,0,0,0">
                <w:txbxContent>
                  <w:p w:rsidR="000E22F7" w:rsidRDefault="000E22F7" w:rsidP="000E22F7">
                    <w:pPr>
                      <w:jc w:val="center"/>
                    </w:pPr>
                    <w:r>
                      <w:rPr>
                        <w:rFonts w:hint="eastAsia"/>
                        <w:sz w:val="18"/>
                      </w:rPr>
                      <w:t>尽可能降低区</w:t>
                    </w:r>
                  </w:p>
                </w:txbxContent>
              </v:textbox>
            </v:shape>
            <v:shape id="_x0000_s1029" type="#_x0000_t202" style="position:absolute;width:1080;height:312" stroked="f">
              <v:textbox inset="0,0,0,0">
                <w:txbxContent>
                  <w:p w:rsidR="000E22F7" w:rsidRDefault="000E22F7" w:rsidP="000E22F7">
                    <w:pPr>
                      <w:jc w:val="center"/>
                    </w:pPr>
                    <w:r>
                      <w:rPr>
                        <w:rFonts w:hint="eastAsia"/>
                        <w:sz w:val="18"/>
                      </w:rPr>
                      <w:t>不可容许区</w:t>
                    </w:r>
                  </w:p>
                </w:txbxContent>
              </v:textbox>
            </v:shape>
          </v:group>
        </w:pict>
      </w:r>
    </w:p>
    <w:p w:rsidR="000E22F7" w:rsidRPr="00476268" w:rsidRDefault="000E22F7" w:rsidP="000E22F7">
      <w:pPr>
        <w:jc w:val="center"/>
        <w:rPr>
          <w:rFonts w:ascii="仿宋_GB2312" w:eastAsia="仿宋_GB2312"/>
          <w:sz w:val="28"/>
        </w:rPr>
      </w:pPr>
      <w:r w:rsidRPr="00476268">
        <w:rPr>
          <w:rFonts w:ascii="仿宋_GB2312" w:eastAsia="仿宋_GB2312" w:hint="eastAsia"/>
          <w:sz w:val="28"/>
        </w:rPr>
        <w:t>图1 社会风险标准（</w:t>
      </w:r>
      <w:r w:rsidRPr="00476268">
        <w:rPr>
          <w:rFonts w:ascii="仿宋_GB2312" w:eastAsia="仿宋_GB2312" w:hint="eastAsia"/>
          <w:i/>
          <w:sz w:val="28"/>
        </w:rPr>
        <w:t>F</w:t>
      </w:r>
      <w:r w:rsidRPr="00476268">
        <w:rPr>
          <w:rFonts w:ascii="仿宋_GB2312" w:eastAsia="仿宋_GB2312" w:hint="eastAsia"/>
          <w:sz w:val="28"/>
        </w:rPr>
        <w:t>-</w:t>
      </w:r>
      <w:r w:rsidRPr="00476268">
        <w:rPr>
          <w:rFonts w:ascii="仿宋_GB2312" w:eastAsia="仿宋_GB2312" w:hint="eastAsia"/>
          <w:i/>
          <w:sz w:val="28"/>
        </w:rPr>
        <w:t>N</w:t>
      </w:r>
      <w:r w:rsidRPr="00476268">
        <w:rPr>
          <w:rFonts w:ascii="仿宋_GB2312" w:eastAsia="仿宋_GB2312" w:hint="eastAsia"/>
          <w:sz w:val="28"/>
        </w:rPr>
        <w:t>）曲线</w:t>
      </w:r>
    </w:p>
    <w:p w:rsidR="000E22F7" w:rsidRPr="00476268" w:rsidRDefault="000E22F7" w:rsidP="00476268">
      <w:pPr>
        <w:spacing w:afterLines="50"/>
        <w:rPr>
          <w:rFonts w:ascii="仿宋_GB2312" w:eastAsia="仿宋_GB2312"/>
        </w:rPr>
      </w:pPr>
    </w:p>
    <w:p w:rsidR="000E22F7" w:rsidRPr="00476268" w:rsidRDefault="000E22F7" w:rsidP="000E22F7"/>
    <w:p w:rsidR="0061137D" w:rsidRPr="00476268" w:rsidRDefault="00C667E4"/>
    <w:sectPr w:rsidR="0061137D" w:rsidRPr="00476268" w:rsidSect="002B48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7E4" w:rsidRDefault="00C667E4" w:rsidP="00476268">
      <w:r>
        <w:separator/>
      </w:r>
    </w:p>
  </w:endnote>
  <w:endnote w:type="continuationSeparator" w:id="0">
    <w:p w:rsidR="00C667E4" w:rsidRDefault="00C667E4" w:rsidP="00476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charset w:val="00"/>
    <w:family w:val="roman"/>
    <w:pitch w:val="default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7E4" w:rsidRDefault="00C667E4" w:rsidP="00476268">
      <w:r>
        <w:separator/>
      </w:r>
    </w:p>
  </w:footnote>
  <w:footnote w:type="continuationSeparator" w:id="0">
    <w:p w:rsidR="00C667E4" w:rsidRDefault="00C667E4" w:rsidP="00476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2F7"/>
    <w:rsid w:val="00090D9C"/>
    <w:rsid w:val="000E22F7"/>
    <w:rsid w:val="00155577"/>
    <w:rsid w:val="002B4830"/>
    <w:rsid w:val="002B4FF1"/>
    <w:rsid w:val="00476268"/>
    <w:rsid w:val="00BA58CB"/>
    <w:rsid w:val="00C667E4"/>
    <w:rsid w:val="00FC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0E22F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E22F7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3">
    <w:name w:val="Plain Text"/>
    <w:basedOn w:val="a"/>
    <w:link w:val="Char"/>
    <w:rsid w:val="000E22F7"/>
    <w:rPr>
      <w:rFonts w:ascii="宋体" w:hAnsi="Courier New"/>
    </w:rPr>
  </w:style>
  <w:style w:type="character" w:customStyle="1" w:styleId="Char">
    <w:name w:val="纯文本 Char"/>
    <w:basedOn w:val="a0"/>
    <w:link w:val="a3"/>
    <w:rsid w:val="000E22F7"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0E22F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E22F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76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7626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476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4762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665</Characters>
  <Application>Microsoft Office Word</Application>
  <DocSecurity>0</DocSecurity>
  <Lines>5</Lines>
  <Paragraphs>1</Paragraphs>
  <ScaleCrop>false</ScaleCrop>
  <Company>Lenovo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2012-05-31T04:53:00Z</dcterms:created>
  <dcterms:modified xsi:type="dcterms:W3CDTF">2012-05-31T06:04:00Z</dcterms:modified>
</cp:coreProperties>
</file>