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D7" w:rsidRPr="00826A2C" w:rsidRDefault="002E2DD7" w:rsidP="002E2DD7">
      <w:pPr>
        <w:ind w:firstLineChars="130" w:firstLine="31680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130" w:firstLine="31680"/>
        <w:jc w:val="center"/>
        <w:rPr>
          <w:rFonts w:ascii="仿宋_GB2312" w:eastAsia="仿宋_GB2312" w:cs="Times New Roman"/>
          <w:b/>
          <w:bCs/>
          <w:color w:val="000000"/>
          <w:sz w:val="40"/>
          <w:szCs w:val="40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40"/>
          <w:szCs w:val="40"/>
        </w:rPr>
        <w:t>船舶远程电子签证管理办法（试行）</w:t>
      </w:r>
    </w:p>
    <w:p w:rsidR="002E2DD7" w:rsidRPr="00826A2C" w:rsidRDefault="002E2DD7" w:rsidP="004A1613">
      <w:pPr>
        <w:pStyle w:val="ListParagraph"/>
        <w:ind w:left="720" w:firstLine="31680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</w:p>
    <w:p w:rsidR="002E2DD7" w:rsidRPr="00826A2C" w:rsidRDefault="002E2DD7" w:rsidP="001F2D53">
      <w:pPr>
        <w:jc w:val="center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第一章</w:t>
      </w:r>
      <w:r w:rsidRPr="00826A2C">
        <w:rPr>
          <w:rFonts w:ascii="仿宋_GB2312" w:eastAsia="仿宋_GB2312" w:cs="Times New Roman"/>
          <w:b/>
          <w:bCs/>
          <w:color w:val="000000"/>
          <w:sz w:val="32"/>
          <w:szCs w:val="32"/>
        </w:rPr>
        <w:tab/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 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总</w:t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 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则</w:t>
      </w:r>
    </w:p>
    <w:p w:rsidR="002E2DD7" w:rsidRPr="00826A2C" w:rsidRDefault="002E2DD7" w:rsidP="004A1613">
      <w:pPr>
        <w:pStyle w:val="ListParagraph"/>
        <w:ind w:left="72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第一条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为保障水上交通安全，便利船舶进出港口，提升海事服务能力，提高监管效率，规范船舶远程电子签证行为，依据《中华人民共和国船舶签证管理规则》（以下简称“《签证规则》”）制定本办法。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本办法所称船舶远程电子签证（以下简称“电子签证”），是指船舶或其经营人通过互联网、手机短信、船载设备等方式，远程办理船舶进出港签证的行为。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第三条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4A1613">
        <w:rPr>
          <w:rFonts w:ascii="仿宋_GB2312" w:eastAsia="仿宋_GB2312" w:cs="仿宋_GB2312" w:hint="eastAsia"/>
          <w:sz w:val="32"/>
          <w:szCs w:val="32"/>
        </w:rPr>
        <w:t>实施电子签证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应遵循诚信、高效、便民的原则。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第四条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电子签证与窗口签证并行实施，具有同等效力，船舶可自主选择签证办理方式。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4A1613" w:rsidRDefault="002E2DD7" w:rsidP="004A1613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4A1613">
        <w:rPr>
          <w:rFonts w:ascii="仿宋_GB2312" w:eastAsia="仿宋_GB2312" w:cs="仿宋_GB2312" w:hint="eastAsia"/>
          <w:b/>
          <w:bCs/>
          <w:sz w:val="32"/>
          <w:szCs w:val="32"/>
        </w:rPr>
        <w:t>第五条</w:t>
      </w:r>
      <w:r w:rsidRPr="004A1613">
        <w:rPr>
          <w:rFonts w:ascii="仿宋_GB2312" w:eastAsia="仿宋_GB2312" w:cs="仿宋_GB2312"/>
          <w:sz w:val="32"/>
          <w:szCs w:val="32"/>
        </w:rPr>
        <w:t xml:space="preserve"> </w:t>
      </w:r>
      <w:r w:rsidRPr="004A1613">
        <w:rPr>
          <w:rFonts w:ascii="仿宋_GB2312" w:eastAsia="仿宋_GB2312" w:cs="仿宋_GB2312" w:hint="eastAsia"/>
          <w:sz w:val="32"/>
          <w:szCs w:val="32"/>
        </w:rPr>
        <w:t>船舶办理电子签证适用本办法。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第六条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中华人民共和国海事局主管全国的电子签证管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理工作，各级海事管理机构具体负责本辖区的电子签证管理工作。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第七条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海事管理机构负责电子签证信息平台的建设、运行和维护，建立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和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完善电子签证相关信息管理制度。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jc w:val="center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第二章</w:t>
      </w:r>
      <w:r w:rsidRPr="00826A2C">
        <w:rPr>
          <w:rFonts w:ascii="仿宋_GB2312" w:eastAsia="仿宋_GB2312" w:cs="Times New Roman"/>
          <w:b/>
          <w:bCs/>
          <w:color w:val="000000"/>
          <w:sz w:val="32"/>
          <w:szCs w:val="32"/>
        </w:rPr>
        <w:tab/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申</w:t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 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请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第八条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船舶在申请电子签证前，应向船籍港海事管理机构申请注册，提供准确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有效信息，并同意电子签证服务条款。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海事管理机构为注册的船舶提供电子签证账号和身份认证方式。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第九条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符合《签证规则》第五条第一款规定办理航次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签证的船舶，可以向海事管理机构提交电子签证申请。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电子签证的申请人为船舶或其经营人。</w:t>
      </w:r>
      <w:r w:rsidRPr="00664F58">
        <w:rPr>
          <w:rFonts w:ascii="仿宋_GB2312" w:eastAsia="仿宋_GB2312" w:cs="仿宋_GB2312" w:hint="eastAsia"/>
          <w:color w:val="000000"/>
          <w:sz w:val="32"/>
          <w:szCs w:val="32"/>
        </w:rPr>
        <w:t>申请人可以委托代理人办理电子签证。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第十条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申请人应当在船舶计划靠泊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>4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小时前申请办理进港电子签证，但提前时间不应超过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>24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小时。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申请人在获准上一港出港签证许可后，方能申请办理拟抵达港口的进港签证。航程时间不足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>4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小时的，应在出港后立即申请拟抵达港口的进港电子签证。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第十一条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船舶抵港后，申请人应当在开航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>4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小时前、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>24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小时内，申请办理出港电子签证。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在港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时间不足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>4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小时的，应在办妥进港签证后立即申请出港电子签证。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第十二条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船舶办理电子签证时应提交船舶动态、货物装卸、在船人员情况等航次信息。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《签证规则》第七条第二款所述的相关资料以电子形式进行审查，可免于提交。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第十三条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申请人应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如实提交船舶电子签证信息，对信息的真实性负责。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第十四条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申请电子签证的船舶应按有关规定始终保持其船舶自动识别系统（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>AIS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）处于正常开启状态，正确显示本船信息。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第十五条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船舶申请电子签证不成功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或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海事管理机构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不予受理时，应到签证站点办理窗口签证。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1F2D53">
      <w:pPr>
        <w:jc w:val="center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第三章</w:t>
      </w:r>
      <w:r w:rsidRPr="00826A2C">
        <w:rPr>
          <w:rFonts w:ascii="仿宋_GB2312" w:eastAsia="仿宋_GB2312" w:cs="Times New Roman"/>
          <w:b/>
          <w:bCs/>
          <w:color w:val="000000"/>
          <w:sz w:val="32"/>
          <w:szCs w:val="32"/>
        </w:rPr>
        <w:tab/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审</w:t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 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批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第十六条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海事管理机构根据《签证规则》要求，对申请电子签证的符合性进行形式审查，对于符合签证条件的船舶，准予签证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反馈电子签证审批结果，并提供验证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方式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；对于不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符合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签证条件的，不予签证，并注明理由。</w:t>
      </w:r>
    </w:p>
    <w:p w:rsidR="002E2DD7" w:rsidRPr="00DC5B01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第十七条</w:t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办理电子签证的船舶应将船舶动态、货物装卸等航次信息和电子签证的审批结果以及验证方式，记录在船舶签证簿中，保持记录连续准确。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第十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八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条</w:t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海事管理机构应保持连续完整的船舶签证数据，供船舶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或其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经营人、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相关机构和人员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等按权限进行查询、验证。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十九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依据《签证规则》所规定需要变更、补办或撤销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电子签证的，申请人可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通过电子方式或到相关签证站点办理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变更、补办或撤销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1F2D53">
      <w:pPr>
        <w:jc w:val="center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第四章</w:t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监督检查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第二十条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电子签证的申请人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及其代理人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应遵守服务条款和国家相关法律、法规的要求。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第二十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一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海事管理机构应对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电子签证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申报信息采取系统校验和人工校验的方式进行审查，并通过船舶自动识别系统（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>AIS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核实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该船实际位置信息，必要时，应派员进行现场检查。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第二十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二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海事管理机构定期对所办理的电子签证数据进行抽查，检查电子签证数据的规范性、准确性，以及船舶航次动态信息的连续性和完整性。</w:t>
      </w:r>
    </w:p>
    <w:p w:rsidR="002E2DD7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6370FD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第二十三条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海事管理机构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应对违规行为进行查处，对存在以下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严重违规行为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的船舶或其经营人，应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暂停或终止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其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远程电子签证服务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（一）故意提交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虚假的申请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信息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，以骗取签证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；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（二）谎报、瞒报以逃避船舶签证；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（三）恶意提交申请、变更和撤销等信息，影响正常电子签证工作；</w:t>
      </w:r>
    </w:p>
    <w:p w:rsidR="002E2DD7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（四）故意关闭船载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>AIS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设备，以逃避海事管理机构监督检查。</w:t>
      </w:r>
    </w:p>
    <w:p w:rsidR="002E2DD7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第二十四条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船舶或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其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经营人应谨慎选择申请代理人，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并承担其电子签证代理行为的责任。</w:t>
      </w:r>
    </w:p>
    <w:p w:rsidR="002E2DD7" w:rsidRDefault="002E2DD7" w:rsidP="004A1613">
      <w:pPr>
        <w:ind w:firstLineChars="200" w:firstLine="31680"/>
        <w:jc w:val="center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</w:p>
    <w:p w:rsidR="002E2DD7" w:rsidRDefault="002E2DD7" w:rsidP="004A1613">
      <w:pPr>
        <w:ind w:firstLineChars="200" w:firstLine="31680"/>
        <w:jc w:val="center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第五章</w:t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 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附</w:t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 </w:t>
      </w: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则</w:t>
      </w:r>
    </w:p>
    <w:p w:rsidR="002E2DD7" w:rsidRPr="00826A2C" w:rsidRDefault="002E2DD7" w:rsidP="004A1613">
      <w:pPr>
        <w:ind w:firstLineChars="200" w:firstLine="31680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第二十五条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船舶或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其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经营人应妥善保管电子签证账号和身份认证方式，因账号泄露所造成的任何损失由船舶或经营人自行承担。</w:t>
      </w:r>
    </w:p>
    <w:p w:rsidR="002E2DD7" w:rsidRDefault="002E2DD7" w:rsidP="004A1613">
      <w:pPr>
        <w:ind w:firstLineChars="200" w:firstLine="31680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第二十六条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电子签证船舶及其经营人应遵守国家有关互联网、通信信息安全，以及保密、人身权益、版权等相关规定，不得利用电子签证进行任何违法、侵权等不正当活动。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2E2DD7" w:rsidRDefault="002E2DD7" w:rsidP="004A1613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第二十七条</w:t>
      </w:r>
      <w:r w:rsidRPr="00826A2C"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本办法由中华人民共和国海事局负责解释。</w:t>
      </w:r>
    </w:p>
    <w:p w:rsidR="002E2DD7" w:rsidRPr="00826A2C" w:rsidRDefault="002E2DD7" w:rsidP="004A1613">
      <w:pPr>
        <w:ind w:firstLineChars="200" w:firstLine="31680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</w:p>
    <w:p w:rsidR="002E2DD7" w:rsidRPr="00826A2C" w:rsidRDefault="002E2DD7" w:rsidP="00235B0A">
      <w:pPr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 w:rsidRPr="00826A2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第二十八条</w:t>
      </w:r>
      <w:r w:rsidRPr="00826A2C"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  <w:r w:rsidRPr="00826A2C">
        <w:rPr>
          <w:rFonts w:ascii="仿宋_GB2312" w:eastAsia="仿宋_GB2312" w:cs="仿宋_GB2312" w:hint="eastAsia"/>
          <w:color w:val="000000"/>
          <w:sz w:val="32"/>
          <w:szCs w:val="32"/>
        </w:rPr>
        <w:t>本办法自发布之日起施行。</w:t>
      </w:r>
    </w:p>
    <w:sectPr w:rsidR="002E2DD7" w:rsidRPr="00826A2C" w:rsidSect="00F47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DD7" w:rsidRDefault="002E2DD7" w:rsidP="00ED26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E2DD7" w:rsidRDefault="002E2DD7" w:rsidP="00ED26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DD7" w:rsidRDefault="002E2DD7" w:rsidP="00ED26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E2DD7" w:rsidRDefault="002E2DD7" w:rsidP="00ED26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92D82"/>
    <w:multiLevelType w:val="hybridMultilevel"/>
    <w:tmpl w:val="574ED044"/>
    <w:lvl w:ilvl="0" w:tplc="E5E2CB50">
      <w:start w:val="2"/>
      <w:numFmt w:val="japaneseCounting"/>
      <w:lvlText w:val="第%1章"/>
      <w:lvlJc w:val="left"/>
      <w:pPr>
        <w:ind w:left="4123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243" w:hanging="420"/>
      </w:pPr>
    </w:lvl>
    <w:lvl w:ilvl="2" w:tplc="0409001B">
      <w:start w:val="1"/>
      <w:numFmt w:val="lowerRoman"/>
      <w:lvlText w:val="%3."/>
      <w:lvlJc w:val="right"/>
      <w:pPr>
        <w:ind w:left="4663" w:hanging="420"/>
      </w:pPr>
    </w:lvl>
    <w:lvl w:ilvl="3" w:tplc="0409000F">
      <w:start w:val="1"/>
      <w:numFmt w:val="decimal"/>
      <w:lvlText w:val="%4."/>
      <w:lvlJc w:val="left"/>
      <w:pPr>
        <w:ind w:left="5083" w:hanging="420"/>
      </w:pPr>
    </w:lvl>
    <w:lvl w:ilvl="4" w:tplc="04090019">
      <w:start w:val="1"/>
      <w:numFmt w:val="lowerLetter"/>
      <w:lvlText w:val="%5)"/>
      <w:lvlJc w:val="left"/>
      <w:pPr>
        <w:ind w:left="5503" w:hanging="420"/>
      </w:pPr>
    </w:lvl>
    <w:lvl w:ilvl="5" w:tplc="0409001B">
      <w:start w:val="1"/>
      <w:numFmt w:val="lowerRoman"/>
      <w:lvlText w:val="%6."/>
      <w:lvlJc w:val="right"/>
      <w:pPr>
        <w:ind w:left="5923" w:hanging="420"/>
      </w:pPr>
    </w:lvl>
    <w:lvl w:ilvl="6" w:tplc="0409000F">
      <w:start w:val="1"/>
      <w:numFmt w:val="decimal"/>
      <w:lvlText w:val="%7."/>
      <w:lvlJc w:val="left"/>
      <w:pPr>
        <w:ind w:left="6343" w:hanging="420"/>
      </w:pPr>
    </w:lvl>
    <w:lvl w:ilvl="7" w:tplc="04090019">
      <w:start w:val="1"/>
      <w:numFmt w:val="lowerLetter"/>
      <w:lvlText w:val="%8)"/>
      <w:lvlJc w:val="left"/>
      <w:pPr>
        <w:ind w:left="6763" w:hanging="420"/>
      </w:pPr>
    </w:lvl>
    <w:lvl w:ilvl="8" w:tplc="0409001B">
      <w:start w:val="1"/>
      <w:numFmt w:val="lowerRoman"/>
      <w:lvlText w:val="%9."/>
      <w:lvlJc w:val="right"/>
      <w:pPr>
        <w:ind w:left="7183" w:hanging="420"/>
      </w:pPr>
    </w:lvl>
  </w:abstractNum>
  <w:abstractNum w:abstractNumId="1">
    <w:nsid w:val="786174F7"/>
    <w:multiLevelType w:val="hybridMultilevel"/>
    <w:tmpl w:val="50BC9206"/>
    <w:lvl w:ilvl="0" w:tplc="33908582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4BB"/>
    <w:rsid w:val="0000597B"/>
    <w:rsid w:val="0001286A"/>
    <w:rsid w:val="00043B4D"/>
    <w:rsid w:val="000A0F77"/>
    <w:rsid w:val="000E4FDA"/>
    <w:rsid w:val="00114131"/>
    <w:rsid w:val="00132BCE"/>
    <w:rsid w:val="001744BB"/>
    <w:rsid w:val="001F2D53"/>
    <w:rsid w:val="00223743"/>
    <w:rsid w:val="00235B0A"/>
    <w:rsid w:val="002E2DD7"/>
    <w:rsid w:val="00353988"/>
    <w:rsid w:val="003B3BE8"/>
    <w:rsid w:val="004A1613"/>
    <w:rsid w:val="004A1723"/>
    <w:rsid w:val="006370FD"/>
    <w:rsid w:val="00664F58"/>
    <w:rsid w:val="00674442"/>
    <w:rsid w:val="006B5E0A"/>
    <w:rsid w:val="006C3A64"/>
    <w:rsid w:val="007F0C3A"/>
    <w:rsid w:val="00826A2C"/>
    <w:rsid w:val="00870FF0"/>
    <w:rsid w:val="00873AEC"/>
    <w:rsid w:val="008B1699"/>
    <w:rsid w:val="0096239C"/>
    <w:rsid w:val="00965ED3"/>
    <w:rsid w:val="009B488E"/>
    <w:rsid w:val="00A11B54"/>
    <w:rsid w:val="00A16884"/>
    <w:rsid w:val="00A74F8C"/>
    <w:rsid w:val="00AD1C87"/>
    <w:rsid w:val="00B307FD"/>
    <w:rsid w:val="00BB5994"/>
    <w:rsid w:val="00C00C62"/>
    <w:rsid w:val="00C73839"/>
    <w:rsid w:val="00C90DC1"/>
    <w:rsid w:val="00CB3A37"/>
    <w:rsid w:val="00CC1364"/>
    <w:rsid w:val="00CD0787"/>
    <w:rsid w:val="00D127A4"/>
    <w:rsid w:val="00D631BB"/>
    <w:rsid w:val="00D924BE"/>
    <w:rsid w:val="00D96E1D"/>
    <w:rsid w:val="00DC07EF"/>
    <w:rsid w:val="00DC5B01"/>
    <w:rsid w:val="00DE1A11"/>
    <w:rsid w:val="00E2319A"/>
    <w:rsid w:val="00E56DA3"/>
    <w:rsid w:val="00E93194"/>
    <w:rsid w:val="00ED260D"/>
    <w:rsid w:val="00F225A2"/>
    <w:rsid w:val="00F47E6D"/>
    <w:rsid w:val="00F6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6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44B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ED2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260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D2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26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6</Pages>
  <Words>280</Words>
  <Characters>1600</Characters>
  <Application>Microsoft Office Outlook</Application>
  <DocSecurity>0</DocSecurity>
  <Lines>0</Lines>
  <Paragraphs>0</Paragraphs>
  <ScaleCrop>false</ScaleCrop>
  <Company>番茄花园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CBC</cp:lastModifiedBy>
  <cp:revision>3</cp:revision>
  <cp:lastPrinted>2013-09-17T23:59:00Z</cp:lastPrinted>
  <dcterms:created xsi:type="dcterms:W3CDTF">2013-09-17T08:27:00Z</dcterms:created>
  <dcterms:modified xsi:type="dcterms:W3CDTF">2013-09-18T00:04:00Z</dcterms:modified>
</cp:coreProperties>
</file>