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224" w:name="_GoBack"/>
            <w:bookmarkEnd w:id="224"/>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rPr>
                      <w:sz w:val="21"/>
                      <w:szCs w:val="21"/>
                    </w:rPr>
                    <w:t xml:space="preserve"> </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5"/>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CHNSA</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航运大数据 船舶</w:t>
      </w:r>
    </w:p>
    <w:p>
      <w:pPr>
        <w:pStyle w:val="197"/>
        <w:framePr w:h="6974" w:hRule="exact" w:wrap="around" w:x="1419" w:anchorLock="1"/>
      </w:pPr>
      <w:r>
        <w:t>第2部分：数据</w:t>
      </w:r>
      <w:r>
        <w:rPr>
          <w:rFonts w:hint="eastAsia"/>
        </w:rPr>
        <w:t>安全合规指南</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B</w:t>
      </w:r>
      <w:r>
        <w:rPr>
          <w:rFonts w:hint="eastAsia" w:eastAsia="黑体"/>
          <w:szCs w:val="28"/>
        </w:rPr>
        <w:t>ig</w:t>
      </w:r>
      <w:r>
        <w:rPr>
          <w:rFonts w:eastAsia="黑体"/>
          <w:szCs w:val="28"/>
        </w:rPr>
        <w:t xml:space="preserve"> </w:t>
      </w:r>
      <w:r>
        <w:rPr>
          <w:rFonts w:hint="eastAsia" w:eastAsia="黑体"/>
          <w:szCs w:val="28"/>
        </w:rPr>
        <w:t>data</w:t>
      </w:r>
      <w:r>
        <w:rPr>
          <w:rFonts w:eastAsia="黑体"/>
          <w:szCs w:val="28"/>
        </w:rPr>
        <w:t xml:space="preserve"> </w:t>
      </w:r>
      <w:r>
        <w:rPr>
          <w:rFonts w:hint="eastAsia" w:eastAsia="黑体"/>
          <w:szCs w:val="28"/>
        </w:rPr>
        <w:t>for</w:t>
      </w:r>
      <w:r>
        <w:rPr>
          <w:rFonts w:eastAsia="黑体"/>
          <w:szCs w:val="28"/>
        </w:rPr>
        <w:t xml:space="preserve"> </w:t>
      </w:r>
      <w:r>
        <w:rPr>
          <w:rFonts w:hint="eastAsia" w:eastAsia="黑体"/>
          <w:szCs w:val="28"/>
        </w:rPr>
        <w:t>shipping</w:t>
      </w:r>
      <w:r>
        <w:rPr>
          <w:rFonts w:eastAsia="黑体"/>
          <w:szCs w:val="28"/>
        </w:rPr>
        <w:t xml:space="preserve">  V</w:t>
      </w:r>
      <w:r>
        <w:rPr>
          <w:rFonts w:hint="eastAsia" w:eastAsia="黑体"/>
          <w:szCs w:val="28"/>
        </w:rPr>
        <w:t>essels</w:t>
      </w:r>
    </w:p>
    <w:p>
      <w:pPr>
        <w:pStyle w:val="125"/>
        <w:framePr w:w="9639" w:h="6974" w:hRule="exact" w:wrap="around" w:vAnchor="page" w:hAnchor="page" w:x="1419" w:y="6408" w:anchorLock="1"/>
        <w:textAlignment w:val="bottom"/>
        <w:rPr>
          <w:rFonts w:eastAsia="黑体"/>
          <w:szCs w:val="28"/>
        </w:rPr>
      </w:pPr>
      <w:r>
        <w:rPr>
          <w:rFonts w:eastAsia="黑体"/>
          <w:szCs w:val="28"/>
        </w:rPr>
        <w:t>P</w:t>
      </w:r>
      <w:r>
        <w:rPr>
          <w:rFonts w:hint="eastAsia" w:eastAsia="黑体"/>
          <w:szCs w:val="28"/>
        </w:rPr>
        <w:t>art</w:t>
      </w:r>
      <w:r>
        <w:rPr>
          <w:rFonts w:eastAsia="黑体"/>
          <w:szCs w:val="28"/>
        </w:rPr>
        <w:t xml:space="preserve"> 2</w:t>
      </w:r>
      <w:r>
        <w:rPr>
          <w:rFonts w:hint="eastAsia" w:eastAsia="黑体"/>
          <w:szCs w:val="28"/>
        </w:rPr>
        <w:t>：Guide</w:t>
      </w:r>
      <w:r>
        <w:rPr>
          <w:rFonts w:eastAsia="黑体"/>
          <w:szCs w:val="28"/>
        </w:rPr>
        <w:t xml:space="preserve"> </w:t>
      </w:r>
      <w:r>
        <w:rPr>
          <w:rFonts w:hint="eastAsia" w:eastAsia="黑体"/>
          <w:szCs w:val="28"/>
        </w:rPr>
        <w:t>of</w:t>
      </w:r>
      <w:r>
        <w:rPr>
          <w:rFonts w:eastAsia="黑体"/>
          <w:szCs w:val="28"/>
        </w:rPr>
        <w:t xml:space="preserve"> </w:t>
      </w:r>
      <w:r>
        <w:rPr>
          <w:rFonts w:hint="eastAsia" w:eastAsia="黑体"/>
          <w:szCs w:val="28"/>
        </w:rPr>
        <w:t>data</w:t>
      </w:r>
      <w:r>
        <w:rPr>
          <w:rFonts w:eastAsia="黑体"/>
          <w:szCs w:val="28"/>
        </w:rPr>
        <w:t xml:space="preserve"> </w:t>
      </w:r>
      <w:r>
        <w:rPr>
          <w:rFonts w:hint="eastAsia" w:eastAsia="黑体"/>
          <w:szCs w:val="28"/>
        </w:rPr>
        <w:t>compliance</w:t>
      </w:r>
      <w:r>
        <w:rPr>
          <w:rFonts w:eastAsia="黑体"/>
          <w:szCs w:val="28"/>
        </w:rPr>
        <w:t xml:space="preserve"> </w:t>
      </w:r>
      <w:r>
        <w:rPr>
          <w:rFonts w:hint="eastAsia" w:eastAsia="黑体"/>
          <w:szCs w:val="28"/>
        </w:rPr>
        <w:t>management</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w:t>
      </w:r>
      <w:r>
        <w:rPr>
          <w:rFonts w:hint="eastAsia"/>
          <w:sz w:val="21"/>
          <w:szCs w:val="28"/>
        </w:rPr>
        <w:t>-</w:t>
      </w:r>
      <w:r>
        <w:rPr>
          <w:sz w:val="21"/>
          <w:szCs w:val="28"/>
        </w:rPr>
        <w:t>08</w:t>
      </w:r>
      <w:r>
        <w:rPr>
          <w:rFonts w:hint="eastAsia"/>
          <w:sz w:val="21"/>
          <w:szCs w:val="28"/>
        </w:rPr>
        <w:t>-</w:t>
      </w:r>
      <w:r>
        <w:rPr>
          <w:sz w:val="21"/>
          <w:szCs w:val="28"/>
        </w:rPr>
        <w:t>04</w:t>
      </w:r>
      <w:r>
        <w:rPr>
          <w:rFonts w:hint="eastAsia"/>
          <w:sz w:val="21"/>
          <w:szCs w:val="28"/>
        </w:rPr>
        <w:t>）</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中国船东协会</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9" w:name="BookMark1"/>
      <w:bookmarkStart w:id="20" w:name="_Toc142051872"/>
      <w:bookmarkStart w:id="21" w:name="_Toc142054862"/>
      <w:bookmarkStart w:id="22" w:name="_Toc142055930"/>
      <w:bookmarkStart w:id="23" w:name="_Toc142051707"/>
      <w:bookmarkStart w:id="24" w:name="_Toc14205176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"_Toc142056356" </w:instrText>
      </w:r>
      <w:r>
        <w:fldChar w:fldCharType="separate"/>
      </w:r>
      <w:r>
        <w:rPr>
          <w:rStyle w:val="32"/>
        </w:rPr>
        <w:t>前言</w:t>
      </w:r>
      <w:r>
        <w:tab/>
      </w:r>
      <w:r>
        <w:fldChar w:fldCharType="begin"/>
      </w:r>
      <w:r>
        <w:instrText xml:space="preserve"> PAGEREF _Toc142056356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"_Toc142056357" </w:instrText>
      </w:r>
      <w:r>
        <w:fldChar w:fldCharType="separate"/>
      </w:r>
      <w:r>
        <w:rPr>
          <w:rStyle w:val="32"/>
        </w:rPr>
        <w:t>引言</w:t>
      </w:r>
      <w:r>
        <w:tab/>
      </w:r>
      <w:r>
        <w:fldChar w:fldCharType="begin"/>
      </w:r>
      <w:r>
        <w:instrText xml:space="preserve"> PAGEREF _Toc142056357 \h </w:instrText>
      </w:r>
      <w:r>
        <w:fldChar w:fldCharType="separate"/>
      </w:r>
      <w:r>
        <w:t>IV</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"_Toc142056358" </w:instrText>
      </w:r>
      <w:r>
        <w:fldChar w:fldCharType="separate"/>
      </w:r>
      <w:r>
        <w:rPr>
          <w:rStyle w:val="32"/>
        </w:rPr>
        <w:t>1  范围</w:t>
      </w:r>
      <w:r>
        <w:tab/>
      </w:r>
      <w:r>
        <w:fldChar w:fldCharType="begin"/>
      </w:r>
      <w:r>
        <w:instrText xml:space="preserve"> PAGEREF _Toc142056358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"_Toc142056359" </w:instrText>
      </w:r>
      <w:r>
        <w:fldChar w:fldCharType="separate"/>
      </w:r>
      <w:r>
        <w:rPr>
          <w:rStyle w:val="32"/>
        </w:rPr>
        <w:t>2  规范性引用文件</w:t>
      </w:r>
      <w:r>
        <w:tab/>
      </w:r>
      <w:r>
        <w:fldChar w:fldCharType="begin"/>
      </w:r>
      <w:r>
        <w:instrText xml:space="preserve"> PAGEREF _Toc142056359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"_Toc142056360" </w:instrText>
      </w:r>
      <w:r>
        <w:fldChar w:fldCharType="separate"/>
      </w:r>
      <w:r>
        <w:rPr>
          <w:rStyle w:val="32"/>
        </w:rPr>
        <w:t>3  术语和定义</w:t>
      </w:r>
      <w:r>
        <w:tab/>
      </w:r>
      <w:r>
        <w:fldChar w:fldCharType="begin"/>
      </w:r>
      <w:r>
        <w:instrText xml:space="preserve"> PAGEREF _Toc142056360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"_Toc142056361" </w:instrText>
      </w:r>
      <w:r>
        <w:fldChar w:fldCharType="separate"/>
      </w:r>
      <w:r>
        <w:rPr>
          <w:rStyle w:val="32"/>
        </w:rPr>
        <w:t>4  基本要求</w:t>
      </w:r>
      <w:r>
        <w:tab/>
      </w:r>
      <w:r>
        <w:fldChar w:fldCharType="begin"/>
      </w:r>
      <w:r>
        <w:instrText xml:space="preserve"> PAGEREF _Toc142056361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"_Toc142056362" </w:instrText>
      </w:r>
      <w:r>
        <w:fldChar w:fldCharType="separate"/>
      </w:r>
      <w:r>
        <w:rPr>
          <w:rStyle w:val="32"/>
        </w:rPr>
        <w:t>5  组织管理</w:t>
      </w:r>
      <w:r>
        <w:tab/>
      </w:r>
      <w:r>
        <w:fldChar w:fldCharType="begin"/>
      </w:r>
      <w:r>
        <w:instrText xml:space="preserve"> PAGEREF _Toc142056362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"_Toc142056363" </w:instrText>
      </w:r>
      <w:r>
        <w:fldChar w:fldCharType="separate"/>
      </w:r>
      <w:r>
        <w:rPr>
          <w:rStyle w:val="32"/>
          <w14:scene3d w14:prst="orthographicFront">
            <w14:lightRig w14:rig="threePt" w14:dir="t">
              <w14:rot w14:lat="0" w14:lon="0" w14:rev="0"/>
            </w14:lightRig>
          </w14:scene3d>
        </w:rPr>
        <w:t xml:space="preserve">5.1 </w:t>
      </w:r>
      <w:r>
        <w:rPr>
          <w:rStyle w:val="32"/>
        </w:rPr>
        <w:t xml:space="preserve"> 机构与岗位</w:t>
      </w:r>
      <w:r>
        <w:tab/>
      </w:r>
      <w:r>
        <w:fldChar w:fldCharType="begin"/>
      </w:r>
      <w:r>
        <w:instrText xml:space="preserve"> PAGEREF _Toc142056363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"_Toc142056364" </w:instrText>
      </w:r>
      <w:r>
        <w:fldChar w:fldCharType="separate"/>
      </w:r>
      <w:r>
        <w:rPr>
          <w:rStyle w:val="32"/>
          <w14:scene3d w14:prst="orthographicFront">
            <w14:lightRig w14:rig="threePt" w14:dir="t">
              <w14:rot w14:lat="0" w14:lon="0" w14:rev="0"/>
            </w14:lightRig>
          </w14:scene3d>
        </w:rPr>
        <w:t xml:space="preserve">5.2 </w:t>
      </w:r>
      <w:r>
        <w:rPr>
          <w:rStyle w:val="32"/>
        </w:rPr>
        <w:t xml:space="preserve"> 职责分工</w:t>
      </w:r>
      <w:r>
        <w:tab/>
      </w:r>
      <w:r>
        <w:fldChar w:fldCharType="begin"/>
      </w:r>
      <w:r>
        <w:instrText xml:space="preserve"> PAGEREF _Toc142056364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"_Toc142056365" </w:instrText>
      </w:r>
      <w:r>
        <w:fldChar w:fldCharType="separate"/>
      </w:r>
      <w:r>
        <w:rPr>
          <w:rStyle w:val="32"/>
          <w14:scene3d w14:prst="orthographicFront">
            <w14:lightRig w14:rig="threePt" w14:dir="t">
              <w14:rot w14:lat="0" w14:lon="0" w14:rev="0"/>
            </w14:lightRig>
          </w14:scene3d>
        </w:rPr>
        <w:t xml:space="preserve">5.3 </w:t>
      </w:r>
      <w:r>
        <w:rPr>
          <w:rStyle w:val="32"/>
        </w:rPr>
        <w:t xml:space="preserve"> 人员保障</w:t>
      </w:r>
      <w:r>
        <w:tab/>
      </w:r>
      <w:r>
        <w:fldChar w:fldCharType="begin"/>
      </w:r>
      <w:r>
        <w:instrText xml:space="preserve"> PAGEREF _Toc142056365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"_Toc142056366" </w:instrText>
      </w:r>
      <w:r>
        <w:fldChar w:fldCharType="separate"/>
      </w:r>
      <w:r>
        <w:rPr>
          <w:rStyle w:val="32"/>
          <w14:scene3d w14:prst="orthographicFront">
            <w14:lightRig w14:rig="threePt" w14:dir="t">
              <w14:rot w14:lat="0" w14:lon="0" w14:rev="0"/>
            </w14:lightRig>
          </w14:scene3d>
        </w:rPr>
        <w:t xml:space="preserve">5.4 </w:t>
      </w:r>
      <w:r>
        <w:rPr>
          <w:rStyle w:val="32"/>
        </w:rPr>
        <w:t xml:space="preserve"> 资金保障</w:t>
      </w:r>
      <w:r>
        <w:tab/>
      </w:r>
      <w:r>
        <w:fldChar w:fldCharType="begin"/>
      </w:r>
      <w:r>
        <w:instrText xml:space="preserve"> PAGEREF _Toc142056366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"_Toc142056367" </w:instrText>
      </w:r>
      <w:r>
        <w:fldChar w:fldCharType="separate"/>
      </w:r>
      <w:r>
        <w:rPr>
          <w:rStyle w:val="32"/>
        </w:rPr>
        <w:t>6  数据识别与分类分级</w:t>
      </w:r>
      <w:r>
        <w:tab/>
      </w:r>
      <w:r>
        <w:fldChar w:fldCharType="begin"/>
      </w:r>
      <w:r>
        <w:instrText xml:space="preserve"> PAGEREF _Toc142056367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"_Toc142056368" </w:instrText>
      </w:r>
      <w:r>
        <w:fldChar w:fldCharType="separate"/>
      </w:r>
      <w:r>
        <w:rPr>
          <w:rStyle w:val="32"/>
          <w14:scene3d w14:prst="orthographicFront">
            <w14:lightRig w14:rig="threePt" w14:dir="t">
              <w14:rot w14:lat="0" w14:lon="0" w14:rev="0"/>
            </w14:lightRig>
          </w14:scene3d>
        </w:rPr>
        <w:t xml:space="preserve">6.1 </w:t>
      </w:r>
      <w:r>
        <w:rPr>
          <w:rStyle w:val="32"/>
        </w:rPr>
        <w:t xml:space="preserve"> 航运数据资产盘点</w:t>
      </w:r>
      <w:r>
        <w:tab/>
      </w:r>
      <w:r>
        <w:fldChar w:fldCharType="begin"/>
      </w:r>
      <w:r>
        <w:instrText xml:space="preserve"> PAGEREF _Toc142056368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"_Toc142056369" </w:instrText>
      </w:r>
      <w:r>
        <w:fldChar w:fldCharType="separate"/>
      </w:r>
      <w:r>
        <w:rPr>
          <w:rStyle w:val="32"/>
          <w14:scene3d w14:prst="orthographicFront">
            <w14:lightRig w14:rig="threePt" w14:dir="t">
              <w14:rot w14:lat="0" w14:lon="0" w14:rev="0"/>
            </w14:lightRig>
          </w14:scene3d>
        </w:rPr>
        <w:t xml:space="preserve">6.2 </w:t>
      </w:r>
      <w:r>
        <w:rPr>
          <w:rStyle w:val="32"/>
        </w:rPr>
        <w:t xml:space="preserve"> 航运数据分类分级</w:t>
      </w:r>
      <w:r>
        <w:tab/>
      </w:r>
      <w:r>
        <w:fldChar w:fldCharType="begin"/>
      </w:r>
      <w:r>
        <w:instrText xml:space="preserve"> PAGEREF _Toc142056369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"_Toc142056370" </w:instrText>
      </w:r>
      <w:r>
        <w:fldChar w:fldCharType="separate"/>
      </w:r>
      <w:r>
        <w:rPr>
          <w:rStyle w:val="32"/>
          <w14:scene3d w14:prst="orthographicFront">
            <w14:lightRig w14:rig="threePt" w14:dir="t">
              <w14:rot w14:lat="0" w14:lon="0" w14:rev="0"/>
            </w14:lightRig>
          </w14:scene3d>
        </w:rPr>
        <w:t xml:space="preserve">6.3 </w:t>
      </w:r>
      <w:r>
        <w:rPr>
          <w:rStyle w:val="32"/>
        </w:rPr>
        <w:t xml:space="preserve"> 个人信息识别</w:t>
      </w:r>
      <w:r>
        <w:tab/>
      </w:r>
      <w:r>
        <w:fldChar w:fldCharType="begin"/>
      </w:r>
      <w:r>
        <w:instrText xml:space="preserve"> PAGEREF _Toc142056370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"_Toc142056371" </w:instrText>
      </w:r>
      <w:r>
        <w:fldChar w:fldCharType="separate"/>
      </w:r>
      <w:r>
        <w:rPr>
          <w:rStyle w:val="32"/>
          <w14:scene3d w14:prst="orthographicFront">
            <w14:lightRig w14:rig="threePt" w14:dir="t">
              <w14:rot w14:lat="0" w14:lon="0" w14:rev="0"/>
            </w14:lightRig>
          </w14:scene3d>
        </w:rPr>
        <w:t xml:space="preserve">6.4 </w:t>
      </w:r>
      <w:r>
        <w:rPr>
          <w:rStyle w:val="32"/>
        </w:rPr>
        <w:t xml:space="preserve"> 公共数据识别</w:t>
      </w:r>
      <w:r>
        <w:tab/>
      </w:r>
      <w:r>
        <w:fldChar w:fldCharType="begin"/>
      </w:r>
      <w:r>
        <w:instrText xml:space="preserve"> PAGEREF _Toc142056371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"_Toc142056372" </w:instrText>
      </w:r>
      <w:r>
        <w:fldChar w:fldCharType="separate"/>
      </w:r>
      <w:r>
        <w:rPr>
          <w:rStyle w:val="32"/>
          <w14:scene3d w14:prst="orthographicFront">
            <w14:lightRig w14:rig="threePt" w14:dir="t">
              <w14:rot w14:lat="0" w14:lon="0" w14:rev="0"/>
            </w14:lightRig>
          </w14:scene3d>
        </w:rPr>
        <w:t xml:space="preserve">6.5 </w:t>
      </w:r>
      <w:r>
        <w:rPr>
          <w:rStyle w:val="32"/>
        </w:rPr>
        <w:t xml:space="preserve"> 数据合规风险识别</w:t>
      </w:r>
      <w:r>
        <w:tab/>
      </w:r>
      <w:r>
        <w:fldChar w:fldCharType="begin"/>
      </w:r>
      <w:r>
        <w:instrText xml:space="preserve"> PAGEREF _Toc142056372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"_Toc142056373" </w:instrText>
      </w:r>
      <w:r>
        <w:fldChar w:fldCharType="separate"/>
      </w:r>
      <w:r>
        <w:rPr>
          <w:rStyle w:val="32"/>
        </w:rPr>
        <w:t>7  数据全生命周期合规管理</w:t>
      </w:r>
      <w:r>
        <w:tab/>
      </w:r>
      <w:r>
        <w:fldChar w:fldCharType="begin"/>
      </w:r>
      <w:r>
        <w:instrText xml:space="preserve"> PAGEREF _Toc142056373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"_Toc142056374" </w:instrText>
      </w:r>
      <w:r>
        <w:fldChar w:fldCharType="separate"/>
      </w:r>
      <w:r>
        <w:rPr>
          <w:rStyle w:val="32"/>
          <w14:scene3d w14:prst="orthographicFront">
            <w14:lightRig w14:rig="threePt" w14:dir="t">
              <w14:rot w14:lat="0" w14:lon="0" w14:rev="0"/>
            </w14:lightRig>
          </w14:scene3d>
        </w:rPr>
        <w:t xml:space="preserve">7.1 </w:t>
      </w:r>
      <w:r>
        <w:rPr>
          <w:rStyle w:val="32"/>
        </w:rPr>
        <w:t xml:space="preserve"> 数据收集</w:t>
      </w:r>
      <w:r>
        <w:tab/>
      </w:r>
      <w:r>
        <w:fldChar w:fldCharType="begin"/>
      </w:r>
      <w:r>
        <w:instrText xml:space="preserve"> PAGEREF _Toc142056374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"_Toc142056375" </w:instrText>
      </w:r>
      <w:r>
        <w:fldChar w:fldCharType="separate"/>
      </w:r>
      <w:r>
        <w:rPr>
          <w:rStyle w:val="32"/>
          <w14:scene3d w14:prst="orthographicFront">
            <w14:lightRig w14:rig="threePt" w14:dir="t">
              <w14:rot w14:lat="0" w14:lon="0" w14:rev="0"/>
            </w14:lightRig>
          </w14:scene3d>
        </w:rPr>
        <w:t xml:space="preserve">7.2 </w:t>
      </w:r>
      <w:r>
        <w:rPr>
          <w:rStyle w:val="32"/>
          <w:rFonts w:hAnsi="宋体"/>
        </w:rPr>
        <w:t xml:space="preserve"> 数据存储</w:t>
      </w:r>
      <w:r>
        <w:tab/>
      </w:r>
      <w:r>
        <w:fldChar w:fldCharType="begin"/>
      </w:r>
      <w:r>
        <w:instrText xml:space="preserve"> PAGEREF _Toc142056375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"_Toc142056376" </w:instrText>
      </w:r>
      <w:r>
        <w:fldChar w:fldCharType="separate"/>
      </w:r>
      <w:r>
        <w:rPr>
          <w:rStyle w:val="32"/>
          <w14:scene3d w14:prst="orthographicFront">
            <w14:lightRig w14:rig="threePt" w14:dir="t">
              <w14:rot w14:lat="0" w14:lon="0" w14:rev="0"/>
            </w14:lightRig>
          </w14:scene3d>
        </w:rPr>
        <w:t xml:space="preserve">7.3 </w:t>
      </w:r>
      <w:r>
        <w:rPr>
          <w:rStyle w:val="32"/>
        </w:rPr>
        <w:t xml:space="preserve"> 数据使用加工</w:t>
      </w:r>
      <w:r>
        <w:tab/>
      </w:r>
      <w:r>
        <w:fldChar w:fldCharType="begin"/>
      </w:r>
      <w:r>
        <w:instrText xml:space="preserve"> PAGEREF _Toc142056376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"_Toc142056377" </w:instrText>
      </w:r>
      <w:r>
        <w:fldChar w:fldCharType="separate"/>
      </w:r>
      <w:r>
        <w:rPr>
          <w:rStyle w:val="32"/>
          <w14:scene3d w14:prst="orthographicFront">
            <w14:lightRig w14:rig="threePt" w14:dir="t">
              <w14:rot w14:lat="0" w14:lon="0" w14:rev="0"/>
            </w14:lightRig>
          </w14:scene3d>
        </w:rPr>
        <w:t xml:space="preserve">7.4 </w:t>
      </w:r>
      <w:r>
        <w:rPr>
          <w:rStyle w:val="32"/>
        </w:rPr>
        <w:t xml:space="preserve"> 数据传输</w:t>
      </w:r>
      <w:r>
        <w:tab/>
      </w:r>
      <w:r>
        <w:fldChar w:fldCharType="begin"/>
      </w:r>
      <w:r>
        <w:instrText xml:space="preserve"> PAGEREF _Toc142056377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"_Toc142056378" </w:instrText>
      </w:r>
      <w:r>
        <w:fldChar w:fldCharType="separate"/>
      </w:r>
      <w:r>
        <w:rPr>
          <w:rStyle w:val="32"/>
          <w14:scene3d w14:prst="orthographicFront">
            <w14:lightRig w14:rig="threePt" w14:dir="t">
              <w14:rot w14:lat="0" w14:lon="0" w14:rev="0"/>
            </w14:lightRig>
          </w14:scene3d>
        </w:rPr>
        <w:t xml:space="preserve">7.5 </w:t>
      </w:r>
      <w:r>
        <w:rPr>
          <w:rStyle w:val="32"/>
        </w:rPr>
        <w:t xml:space="preserve"> 数据提供</w:t>
      </w:r>
      <w:r>
        <w:tab/>
      </w:r>
      <w:r>
        <w:fldChar w:fldCharType="begin"/>
      </w:r>
      <w:r>
        <w:instrText xml:space="preserve"> PAGEREF _Toc142056378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"_Toc142056379" </w:instrText>
      </w:r>
      <w:r>
        <w:fldChar w:fldCharType="separate"/>
      </w:r>
      <w:r>
        <w:rPr>
          <w:rStyle w:val="32"/>
          <w14:scene3d w14:prst="orthographicFront">
            <w14:lightRig w14:rig="threePt" w14:dir="t">
              <w14:rot w14:lat="0" w14:lon="0" w14:rev="0"/>
            </w14:lightRig>
          </w14:scene3d>
        </w:rPr>
        <w:t xml:space="preserve">7.6 </w:t>
      </w:r>
      <w:r>
        <w:rPr>
          <w:rStyle w:val="32"/>
        </w:rPr>
        <w:t xml:space="preserve"> 数据销毁</w:t>
      </w:r>
      <w:r>
        <w:tab/>
      </w:r>
      <w:r>
        <w:fldChar w:fldCharType="begin"/>
      </w:r>
      <w:r>
        <w:instrText xml:space="preserve"> PAGEREF _Toc142056379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"_Toc142056380" </w:instrText>
      </w:r>
      <w:r>
        <w:fldChar w:fldCharType="separate"/>
      </w:r>
      <w:r>
        <w:rPr>
          <w:rStyle w:val="32"/>
          <w14:scene3d w14:prst="orthographicFront">
            <w14:lightRig w14:rig="threePt" w14:dir="t">
              <w14:rot w14:lat="0" w14:lon="0" w14:rev="0"/>
            </w14:lightRig>
          </w14:scene3d>
        </w:rPr>
        <w:t xml:space="preserve">7.7 </w:t>
      </w:r>
      <w:r>
        <w:rPr>
          <w:rStyle w:val="32"/>
        </w:rPr>
        <w:t xml:space="preserve"> 数据出境</w:t>
      </w:r>
      <w:r>
        <w:tab/>
      </w:r>
      <w:r>
        <w:fldChar w:fldCharType="begin"/>
      </w:r>
      <w:r>
        <w:instrText xml:space="preserve"> PAGEREF _Toc142056380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"_Toc142056381" </w:instrText>
      </w:r>
      <w:r>
        <w:fldChar w:fldCharType="separate"/>
      </w:r>
      <w:r>
        <w:rPr>
          <w:rStyle w:val="32"/>
        </w:rPr>
        <w:t>8  管理措施</w:t>
      </w:r>
      <w:r>
        <w:tab/>
      </w:r>
      <w:r>
        <w:fldChar w:fldCharType="begin"/>
      </w:r>
      <w:r>
        <w:instrText xml:space="preserve"> PAGEREF _Toc142056381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"_Toc142056382" </w:instrText>
      </w:r>
      <w:r>
        <w:fldChar w:fldCharType="separate"/>
      </w:r>
      <w:r>
        <w:rPr>
          <w:rStyle w:val="32"/>
          <w14:scene3d w14:prst="orthographicFront">
            <w14:lightRig w14:rig="threePt" w14:dir="t">
              <w14:rot w14:lat="0" w14:lon="0" w14:rev="0"/>
            </w14:lightRig>
          </w14:scene3d>
        </w:rPr>
        <w:t xml:space="preserve">8.1 </w:t>
      </w:r>
      <w:r>
        <w:rPr>
          <w:rStyle w:val="32"/>
        </w:rPr>
        <w:t xml:space="preserve"> 安全制度建设</w:t>
      </w:r>
      <w:r>
        <w:tab/>
      </w:r>
      <w:r>
        <w:fldChar w:fldCharType="begin"/>
      </w:r>
      <w:r>
        <w:instrText xml:space="preserve"> PAGEREF _Toc142056382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"_Toc142056383" </w:instrText>
      </w:r>
      <w:r>
        <w:fldChar w:fldCharType="separate"/>
      </w:r>
      <w:r>
        <w:rPr>
          <w:rStyle w:val="32"/>
          <w14:scene3d w14:prst="orthographicFront">
            <w14:lightRig w14:rig="threePt" w14:dir="t">
              <w14:rot w14:lat="0" w14:lon="0" w14:rev="0"/>
            </w14:lightRig>
          </w14:scene3d>
        </w:rPr>
        <w:t xml:space="preserve">8.2 </w:t>
      </w:r>
      <w:r>
        <w:rPr>
          <w:rStyle w:val="32"/>
        </w:rPr>
        <w:t xml:space="preserve"> 安全同步</w:t>
      </w:r>
      <w:r>
        <w:tab/>
      </w:r>
      <w:r>
        <w:fldChar w:fldCharType="begin"/>
      </w:r>
      <w:r>
        <w:instrText xml:space="preserve"> PAGEREF _Toc142056383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"_Toc142056384" </w:instrText>
      </w:r>
      <w:r>
        <w:fldChar w:fldCharType="separate"/>
      </w:r>
      <w:r>
        <w:rPr>
          <w:rStyle w:val="32"/>
          <w14:scene3d w14:prst="orthographicFront">
            <w14:lightRig w14:rig="threePt" w14:dir="t">
              <w14:rot w14:lat="0" w14:lon="0" w14:rev="0"/>
            </w14:lightRig>
          </w14:scene3d>
        </w:rPr>
        <w:t xml:space="preserve">8.3 </w:t>
      </w:r>
      <w:r>
        <w:rPr>
          <w:rStyle w:val="32"/>
        </w:rPr>
        <w:t xml:space="preserve"> 权限管理</w:t>
      </w:r>
      <w:r>
        <w:tab/>
      </w:r>
      <w:r>
        <w:fldChar w:fldCharType="begin"/>
      </w:r>
      <w:r>
        <w:instrText xml:space="preserve"> PAGEREF _Toc142056384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"_Toc142056385" </w:instrText>
      </w:r>
      <w:r>
        <w:fldChar w:fldCharType="separate"/>
      </w:r>
      <w:r>
        <w:rPr>
          <w:rStyle w:val="32"/>
          <w14:scene3d w14:prst="orthographicFront">
            <w14:lightRig w14:rig="threePt" w14:dir="t">
              <w14:rot w14:lat="0" w14:lon="0" w14:rev="0"/>
            </w14:lightRig>
          </w14:scene3d>
        </w:rPr>
        <w:t xml:space="preserve">8.4 </w:t>
      </w:r>
      <w:r>
        <w:rPr>
          <w:rStyle w:val="32"/>
        </w:rPr>
        <w:t xml:space="preserve"> 密码保护</w:t>
      </w:r>
      <w:r>
        <w:tab/>
      </w:r>
      <w:r>
        <w:fldChar w:fldCharType="begin"/>
      </w:r>
      <w:r>
        <w:instrText xml:space="preserve"> PAGEREF _Toc142056385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"_Toc142056386" </w:instrText>
      </w:r>
      <w:r>
        <w:fldChar w:fldCharType="separate"/>
      </w:r>
      <w:r>
        <w:rPr>
          <w:rStyle w:val="32"/>
          <w14:scene3d w14:prst="orthographicFront">
            <w14:lightRig w14:rig="threePt" w14:dir="t">
              <w14:rot w14:lat="0" w14:lon="0" w14:rev="0"/>
            </w14:lightRig>
          </w14:scene3d>
        </w:rPr>
        <w:t xml:space="preserve">8.5 </w:t>
      </w:r>
      <w:r>
        <w:rPr>
          <w:rStyle w:val="32"/>
        </w:rPr>
        <w:t xml:space="preserve"> 日志留存</w:t>
      </w:r>
      <w:r>
        <w:tab/>
      </w:r>
      <w:r>
        <w:fldChar w:fldCharType="begin"/>
      </w:r>
      <w:r>
        <w:instrText xml:space="preserve"> PAGEREF _Toc142056386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"_Toc142056387" </w:instrText>
      </w:r>
      <w:r>
        <w:fldChar w:fldCharType="separate"/>
      </w:r>
      <w:r>
        <w:rPr>
          <w:rStyle w:val="32"/>
          <w14:scene3d w14:prst="orthographicFront">
            <w14:lightRig w14:rig="threePt" w14:dir="t">
              <w14:rot w14:lat="0" w14:lon="0" w14:rev="0"/>
            </w14:lightRig>
          </w14:scene3d>
        </w:rPr>
        <w:t xml:space="preserve">8.6 </w:t>
      </w:r>
      <w:r>
        <w:rPr>
          <w:rStyle w:val="32"/>
        </w:rPr>
        <w:t xml:space="preserve"> 安全审计</w:t>
      </w:r>
      <w:r>
        <w:tab/>
      </w:r>
      <w:r>
        <w:fldChar w:fldCharType="begin"/>
      </w:r>
      <w:r>
        <w:instrText xml:space="preserve"> PAGEREF _Toc142056387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"_Toc142056388" </w:instrText>
      </w:r>
      <w:r>
        <w:fldChar w:fldCharType="separate"/>
      </w:r>
      <w:r>
        <w:rPr>
          <w:rStyle w:val="32"/>
          <w14:scene3d w14:prst="orthographicFront">
            <w14:lightRig w14:rig="threePt" w14:dir="t">
              <w14:rot w14:lat="0" w14:lon="0" w14:rev="0"/>
            </w14:lightRig>
          </w14:scene3d>
        </w:rPr>
        <w:t xml:space="preserve">8.7 </w:t>
      </w:r>
      <w:r>
        <w:rPr>
          <w:rStyle w:val="32"/>
        </w:rPr>
        <w:t xml:space="preserve"> 信息上级</w:t>
      </w:r>
      <w:r>
        <w:tab/>
      </w:r>
      <w:r>
        <w:fldChar w:fldCharType="begin"/>
      </w:r>
      <w:r>
        <w:instrText xml:space="preserve"> PAGEREF _Toc142056388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"_Toc142056389" </w:instrText>
      </w:r>
      <w:r>
        <w:fldChar w:fldCharType="separate"/>
      </w:r>
      <w:r>
        <w:rPr>
          <w:rStyle w:val="32"/>
          <w14:scene3d w14:prst="orthographicFront">
            <w14:lightRig w14:rig="threePt" w14:dir="t">
              <w14:rot w14:lat="0" w14:lon="0" w14:rev="0"/>
            </w14:lightRig>
          </w14:scene3d>
        </w:rPr>
        <w:t xml:space="preserve">8.8 </w:t>
      </w:r>
      <w:r>
        <w:rPr>
          <w:rStyle w:val="32"/>
        </w:rPr>
        <w:t xml:space="preserve"> 应急管理</w:t>
      </w:r>
      <w:r>
        <w:tab/>
      </w:r>
      <w:r>
        <w:fldChar w:fldCharType="begin"/>
      </w:r>
      <w:r>
        <w:instrText xml:space="preserve"> PAGEREF _Toc142056389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"_Toc142056390" </w:instrText>
      </w:r>
      <w:r>
        <w:fldChar w:fldCharType="separate"/>
      </w:r>
      <w:r>
        <w:rPr>
          <w:rStyle w:val="32"/>
          <w14:scene3d w14:prst="orthographicFront">
            <w14:lightRig w14:rig="threePt" w14:dir="t">
              <w14:rot w14:lat="0" w14:lon="0" w14:rev="0"/>
            </w14:lightRig>
          </w14:scene3d>
        </w:rPr>
        <w:t xml:space="preserve">8.9 </w:t>
      </w:r>
      <w:r>
        <w:rPr>
          <w:rStyle w:val="32"/>
        </w:rPr>
        <w:t xml:space="preserve"> 教育培训</w:t>
      </w:r>
      <w:r>
        <w:tab/>
      </w:r>
      <w:r>
        <w:fldChar w:fldCharType="begin"/>
      </w:r>
      <w:r>
        <w:instrText xml:space="preserve"> PAGEREF _Toc142056390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"_Toc142056391" </w:instrText>
      </w:r>
      <w:r>
        <w:fldChar w:fldCharType="separate"/>
      </w:r>
      <w:r>
        <w:rPr>
          <w:rStyle w:val="32"/>
          <w14:scene3d w14:prst="orthographicFront">
            <w14:lightRig w14:rig="threePt" w14:dir="t">
              <w14:rot w14:lat="0" w14:lon="0" w14:rev="0"/>
            </w14:lightRig>
          </w14:scene3d>
        </w:rPr>
        <w:t xml:space="preserve">8.10 </w:t>
      </w:r>
      <w:r>
        <w:rPr>
          <w:rStyle w:val="32"/>
        </w:rPr>
        <w:t xml:space="preserve"> 安全评估</w:t>
      </w:r>
      <w:r>
        <w:tab/>
      </w:r>
      <w:r>
        <w:fldChar w:fldCharType="begin"/>
      </w:r>
      <w:r>
        <w:instrText xml:space="preserve"> PAGEREF _Toc142056391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"_Toc142056392" </w:instrText>
      </w:r>
      <w:r>
        <w:fldChar w:fldCharType="separate"/>
      </w:r>
      <w:r>
        <w:rPr>
          <w:rStyle w:val="32"/>
          <w14:scene3d w14:prst="orthographicFront">
            <w14:lightRig w14:rig="threePt" w14:dir="t">
              <w14:rot w14:lat="0" w14:lon="0" w14:rev="0"/>
            </w14:lightRig>
          </w14:scene3d>
        </w:rPr>
        <w:t xml:space="preserve">8.11 </w:t>
      </w:r>
      <w:r>
        <w:rPr>
          <w:rStyle w:val="32"/>
        </w:rPr>
        <w:t xml:space="preserve"> 合作方管理</w:t>
      </w:r>
      <w:r>
        <w:tab/>
      </w:r>
      <w:r>
        <w:fldChar w:fldCharType="begin"/>
      </w:r>
      <w:r>
        <w:instrText xml:space="preserve"> PAGEREF _Toc142056392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"_Toc142056393" </w:instrText>
      </w:r>
      <w:r>
        <w:fldChar w:fldCharType="separate"/>
      </w:r>
      <w:r>
        <w:rPr>
          <w:rStyle w:val="32"/>
        </w:rPr>
        <w:t>9  评价与改进</w:t>
      </w:r>
      <w:r>
        <w:tab/>
      </w:r>
      <w:r>
        <w:fldChar w:fldCharType="begin"/>
      </w:r>
      <w:r>
        <w:instrText xml:space="preserve"> PAGEREF _Toc142056393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"_Toc142056394" </w:instrText>
      </w:r>
      <w:r>
        <w:fldChar w:fldCharType="separate"/>
      </w:r>
      <w:r>
        <w:rPr>
          <w:rStyle w:val="32"/>
          <w14:scene3d w14:prst="orthographicFront">
            <w14:lightRig w14:rig="threePt" w14:dir="t">
              <w14:rot w14:lat="0" w14:lon="0" w14:rev="0"/>
            </w14:lightRig>
          </w14:scene3d>
        </w:rPr>
        <w:t xml:space="preserve">9.1 </w:t>
      </w:r>
      <w:r>
        <w:rPr>
          <w:rStyle w:val="32"/>
        </w:rPr>
        <w:t xml:space="preserve"> 自评</w:t>
      </w:r>
      <w:r>
        <w:tab/>
      </w:r>
      <w:r>
        <w:fldChar w:fldCharType="begin"/>
      </w:r>
      <w:r>
        <w:instrText xml:space="preserve"> PAGEREF _Toc142056394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"_Toc142056395" </w:instrText>
      </w:r>
      <w:r>
        <w:fldChar w:fldCharType="separate"/>
      </w:r>
      <w:r>
        <w:rPr>
          <w:rStyle w:val="32"/>
          <w14:scene3d w14:prst="orthographicFront">
            <w14:lightRig w14:rig="threePt" w14:dir="t">
              <w14:rot w14:lat="0" w14:lon="0" w14:rev="0"/>
            </w14:lightRig>
          </w14:scene3d>
        </w:rPr>
        <w:t xml:space="preserve">9.2 </w:t>
      </w:r>
      <w:r>
        <w:rPr>
          <w:rStyle w:val="32"/>
        </w:rPr>
        <w:t xml:space="preserve"> 设计评估</w:t>
      </w:r>
      <w:r>
        <w:tab/>
      </w:r>
      <w:r>
        <w:fldChar w:fldCharType="begin"/>
      </w:r>
      <w:r>
        <w:instrText xml:space="preserve"> PAGEREF _Toc142056395 \h </w:instrText>
      </w:r>
      <w:r>
        <w:fldChar w:fldCharType="separate"/>
      </w:r>
      <w:r>
        <w:t>6</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"_Toc142056396" </w:instrText>
      </w:r>
      <w:r>
        <w:fldChar w:fldCharType="separate"/>
      </w:r>
      <w:r>
        <w:rPr>
          <w:rStyle w:val="32"/>
          <w14:scene3d w14:prst="orthographicFront">
            <w14:lightRig w14:rig="threePt" w14:dir="t">
              <w14:rot w14:lat="0" w14:lon="0" w14:rev="0"/>
            </w14:lightRig>
          </w14:scene3d>
        </w:rPr>
        <w:t xml:space="preserve">9.3 </w:t>
      </w:r>
      <w:r>
        <w:rPr>
          <w:rStyle w:val="32"/>
        </w:rPr>
        <w:t xml:space="preserve"> 执行评估</w:t>
      </w:r>
      <w:r>
        <w:tab/>
      </w:r>
      <w:r>
        <w:fldChar w:fldCharType="begin"/>
      </w:r>
      <w:r>
        <w:instrText xml:space="preserve"> PAGEREF _Toc142056396 \h </w:instrText>
      </w:r>
      <w:r>
        <w:fldChar w:fldCharType="separate"/>
      </w:r>
      <w:r>
        <w:t>7</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"_Toc142056397" </w:instrText>
      </w:r>
      <w:r>
        <w:fldChar w:fldCharType="separate"/>
      </w:r>
      <w:r>
        <w:rPr>
          <w:rStyle w:val="32"/>
          <w14:scene3d w14:prst="orthographicFront">
            <w14:lightRig w14:rig="threePt" w14:dir="t">
              <w14:rot w14:lat="0" w14:lon="0" w14:rev="0"/>
            </w14:lightRig>
          </w14:scene3d>
        </w:rPr>
        <w:t xml:space="preserve">9.4 </w:t>
      </w:r>
      <w:r>
        <w:rPr>
          <w:rStyle w:val="32"/>
        </w:rPr>
        <w:t xml:space="preserve"> 质效评估</w:t>
      </w:r>
      <w:r>
        <w:tab/>
      </w:r>
      <w:r>
        <w:fldChar w:fldCharType="begin"/>
      </w:r>
      <w:r>
        <w:instrText xml:space="preserve"> PAGEREF _Toc142056397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"_Toc142056398" </w:instrText>
      </w:r>
      <w:r>
        <w:fldChar w:fldCharType="separate"/>
      </w:r>
      <w:r>
        <w:rPr>
          <w:rStyle w:val="32"/>
        </w:rPr>
        <w:t>附录A（资料性）  船舶典型场景下的数据合规</w:t>
      </w:r>
      <w:r>
        <w:tab/>
      </w:r>
      <w:r>
        <w:fldChar w:fldCharType="begin"/>
      </w:r>
      <w:r>
        <w:instrText xml:space="preserve"> PAGEREF _Toc142056398 \h </w:instrText>
      </w:r>
      <w:r>
        <w:fldChar w:fldCharType="separate"/>
      </w:r>
      <w:r>
        <w:t>9</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"_Toc142056399" </w:instrText>
      </w:r>
      <w:r>
        <w:fldChar w:fldCharType="separate"/>
      </w:r>
      <w:r>
        <w:rPr>
          <w:rStyle w:val="32"/>
          <w:bCs/>
        </w:rPr>
        <w:t xml:space="preserve">A.1 </w:t>
      </w:r>
      <w:r>
        <w:rPr>
          <w:rStyle w:val="32"/>
        </w:rPr>
        <w:t xml:space="preserve"> 船舶运输集装箱货物流程及数据合规要点</w:t>
      </w:r>
      <w:r>
        <w:tab/>
      </w:r>
      <w:r>
        <w:fldChar w:fldCharType="begin"/>
      </w:r>
      <w:r>
        <w:instrText xml:space="preserve"> PAGEREF _Toc142056399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"_Toc142056400" </w:instrText>
      </w:r>
      <w:r>
        <w:fldChar w:fldCharType="separate"/>
      </w:r>
      <w:r>
        <w:rPr>
          <w:rStyle w:val="32"/>
        </w:rPr>
        <w:t>附录B（资料性）  航运数据分类分级示例</w:t>
      </w:r>
      <w:r>
        <w:tab/>
      </w:r>
      <w:r>
        <w:fldChar w:fldCharType="begin"/>
      </w:r>
      <w:r>
        <w:instrText xml:space="preserve"> PAGEREF _Toc142056400 \h </w:instrText>
      </w:r>
      <w:r>
        <w:fldChar w:fldCharType="separate"/>
      </w:r>
      <w:r>
        <w:t>11</w:t>
      </w:r>
      <w:r>
        <w:fldChar w:fldCharType="end"/>
      </w:r>
      <w:r>
        <w:fldChar w:fldCharType="end"/>
      </w:r>
    </w:p>
    <w:p>
      <w:pPr>
        <w:pStyle w:val="56"/>
        <w:spacing w:line="300" w:lineRule="exact"/>
        <w:ind w:firstLine="420"/>
      </w:pPr>
      <w:r>
        <w:fldChar w:fldCharType="end"/>
      </w:r>
      <w:bookmarkStart w:id="25" w:name="muci"/>
      <w:bookmarkEnd w:id="25"/>
      <w:r>
        <w:fldChar w:fldCharType="begin"/>
      </w:r>
      <w:r>
        <w:instrText xml:space="preserve"> TOC \o "9-9" \h \t "标准文件_正文表标题,1,标准文件_附录表标题,1" </w:instrText>
      </w:r>
      <w:r>
        <w:fldChar w:fldCharType="separate"/>
      </w:r>
    </w:p>
    <w:p>
      <w:pPr>
        <w:pStyle w:val="19"/>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HYPERLINK \l "_Toc142056401" </w:instrText>
      </w:r>
      <w:r>
        <w:fldChar w:fldCharType="separate"/>
      </w:r>
      <w:r>
        <w:rPr>
          <w:rStyle w:val="32"/>
        </w:rPr>
        <w:t>表B.1  航运数据分类分级</w:t>
      </w:r>
      <w:r>
        <w:tab/>
      </w:r>
      <w:r>
        <w:fldChar w:fldCharType="begin"/>
      </w:r>
      <w:r>
        <w:instrText xml:space="preserve"> PAGEREF _Toc142056401 \h </w:instrText>
      </w:r>
      <w:r>
        <w:fldChar w:fldCharType="separate"/>
      </w:r>
      <w:r>
        <w:t>11</w:t>
      </w:r>
      <w:r>
        <w:fldChar w:fldCharType="end"/>
      </w:r>
      <w:r>
        <w:fldChar w:fldCharType="end"/>
      </w:r>
    </w:p>
    <w:p>
      <w:pPr>
        <w:pStyle w:val="56"/>
        <w:spacing w:line="300" w:lineRule="exact"/>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pPr>
        <w:pStyle w:val="89"/>
        <w:spacing w:after="360"/>
      </w:pPr>
      <w:bookmarkStart w:id="26" w:name="_Toc142056356"/>
      <w:bookmarkStart w:id="27" w:name="BookMark2"/>
      <w:r>
        <w:rPr>
          <w:spacing w:val="320"/>
        </w:rPr>
        <w:t>前</w:t>
      </w:r>
      <w:r>
        <w:t>言</w:t>
      </w:r>
      <w:bookmarkEnd w:id="20"/>
      <w:bookmarkEnd w:id="21"/>
      <w:bookmarkEnd w:id="22"/>
      <w:bookmarkEnd w:id="23"/>
      <w:bookmarkEnd w:id="24"/>
      <w:bookmarkEnd w:id="2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p>
    <w:p>
      <w:pPr>
        <w:pStyle w:val="56"/>
        <w:ind w:firstLine="420"/>
      </w:pPr>
      <w:r>
        <w:rPr>
          <w:rFonts w:hint="eastAsia"/>
        </w:rPr>
        <w:t>本文件由××××提出。</w:t>
      </w:r>
    </w:p>
    <w:p>
      <w:pPr>
        <w:pStyle w:val="56"/>
        <w:ind w:firstLine="420"/>
      </w:pPr>
      <w:r>
        <w:rPr>
          <w:rFonts w:hint="eastAsia"/>
        </w:rPr>
        <w:t>本文件由××××归口。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7"/>
    <w:p>
      <w:pPr>
        <w:pStyle w:val="89"/>
        <w:spacing w:after="360"/>
      </w:pPr>
      <w:bookmarkStart w:id="28" w:name="_Toc142054863"/>
      <w:bookmarkStart w:id="29" w:name="_Toc142055931"/>
      <w:bookmarkStart w:id="30" w:name="_Toc142056357"/>
      <w:bookmarkStart w:id="31" w:name="BookMark3"/>
      <w:r>
        <w:rPr>
          <w:spacing w:val="320"/>
        </w:rPr>
        <w:t>引</w:t>
      </w:r>
      <w:r>
        <w:t>言</w:t>
      </w:r>
      <w:bookmarkEnd w:id="28"/>
      <w:bookmarkEnd w:id="29"/>
      <w:bookmarkEnd w:id="30"/>
    </w:p>
    <w:p>
      <w:pPr>
        <w:pStyle w:val="56"/>
        <w:ind w:firstLine="420"/>
      </w:pPr>
      <w:r>
        <w:rPr>
          <w:rFonts w:hint="eastAsia"/>
        </w:rPr>
        <w:t>《中华人民共和国网络安全法》第十五条规定，</w:t>
      </w:r>
      <w:r>
        <w:t>“</w:t>
      </w:r>
      <w:r>
        <w:rPr>
          <w:rFonts w:hint="eastAsia"/>
        </w:rPr>
        <w:t>国家建立和完善网络安全标准体系。国务院标准化行政主管部门和国务院其他有关部门根据各自的职责，组织制定并适时修订有关网络安全管理以及网络产品、服务和运行安全的国家标准、行业标准。国家支持企业、研究机构、高等学校、网络相关行业组织参与网络安全国家标准、行业标准的制定。</w:t>
      </w:r>
      <w:r>
        <w:t>”</w:t>
      </w:r>
      <w:r>
        <w:rPr>
          <w:rFonts w:hint="eastAsia"/>
        </w:rPr>
        <w:t>《中华人民共和国数据安全法》第十七条规定，</w:t>
      </w:r>
      <w:r>
        <w:t>“</w:t>
      </w:r>
      <w:r>
        <w:rPr>
          <w:rFonts w:hint="eastAsia"/>
        </w:rPr>
        <w:t>国家推进</w:t>
      </w:r>
      <w:r>
        <w:t>……</w:t>
      </w:r>
      <w:r>
        <w:rPr>
          <w:rFonts w:hint="eastAsia"/>
        </w:rPr>
        <w:t>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r>
        <w:t>”</w:t>
      </w:r>
      <w:r>
        <w:rPr>
          <w:rFonts w:hint="eastAsia"/>
        </w:rPr>
        <w:t>根据上述规定，制定该《指引》，为航运产业数字合规工作提供方向与指导，是法律的要求。</w:t>
      </w:r>
    </w:p>
    <w:p>
      <w:pPr>
        <w:pStyle w:val="56"/>
        <w:ind w:firstLine="420"/>
      </w:pPr>
      <w:r>
        <w:t>2020</w:t>
      </w:r>
      <w:r>
        <w:rPr>
          <w:rFonts w:hint="eastAsia"/>
        </w:rPr>
        <w:t>年</w:t>
      </w:r>
      <w:r>
        <w:t>12</w:t>
      </w:r>
      <w:r>
        <w:rPr>
          <w:rFonts w:hint="eastAsia"/>
        </w:rPr>
        <w:t>月</w:t>
      </w:r>
      <w:r>
        <w:t>7</w:t>
      </w:r>
      <w:r>
        <w:rPr>
          <w:rFonts w:hint="eastAsia"/>
        </w:rPr>
        <w:t>日，中共中央印发《法治社会建设实施纲要（</w:t>
      </w:r>
      <w:r>
        <w:t>2020</w:t>
      </w:r>
      <w:r>
        <w:rPr>
          <w:rFonts w:hint="eastAsia"/>
        </w:rPr>
        <w:t>－</w:t>
      </w:r>
      <w:r>
        <w:t>2025</w:t>
      </w:r>
      <w:r>
        <w:rPr>
          <w:rFonts w:hint="eastAsia"/>
        </w:rPr>
        <w:t>年）》，提出要</w:t>
      </w:r>
      <w:r>
        <w:t>“</w:t>
      </w:r>
      <w:r>
        <w:rPr>
          <w:rFonts w:hint="eastAsia"/>
        </w:rPr>
        <w:t>增强全民法治观念、增强全民法治观念</w:t>
      </w:r>
      <w:r>
        <w:t>……</w:t>
      </w:r>
      <w:r>
        <w:rPr>
          <w:rFonts w:hint="eastAsia"/>
        </w:rPr>
        <w:t>加强社会治理制度建设，推进社会治理制度化、规范化、程序化。</w:t>
      </w:r>
      <w:r>
        <w:t>”</w:t>
      </w:r>
      <w:r>
        <w:rPr>
          <w:rFonts w:hint="eastAsia"/>
        </w:rPr>
        <w:t>提出了全民合规的要求。</w:t>
      </w:r>
    </w:p>
    <w:p>
      <w:pPr>
        <w:pStyle w:val="56"/>
        <w:ind w:firstLine="420"/>
      </w:pPr>
      <w:r>
        <w:rPr>
          <w:rFonts w:hint="eastAsia"/>
        </w:rPr>
        <w:t>《上海市国民经济和社会发展第十四个五年规划和二〇三五年远景目标纲要》提出，</w:t>
      </w:r>
      <w:r>
        <w:t>“</w:t>
      </w:r>
      <w:r>
        <w:rPr>
          <w:rFonts w:hint="eastAsia"/>
        </w:rPr>
        <w:t>‘五个中心’功能实现整体提升。</w:t>
      </w:r>
      <w:r>
        <w:t>……</w:t>
      </w:r>
      <w:r>
        <w:rPr>
          <w:rFonts w:hint="eastAsia"/>
        </w:rPr>
        <w:t>基本建成国际航运中心</w:t>
      </w:r>
      <w:r>
        <w:t>……</w:t>
      </w:r>
      <w:r>
        <w:rPr>
          <w:rFonts w:hint="eastAsia"/>
        </w:rPr>
        <w:t>现代航运服务体系基本形成。</w:t>
      </w:r>
      <w:r>
        <w:t>”2021</w:t>
      </w:r>
      <w:r>
        <w:rPr>
          <w:rFonts w:hint="eastAsia"/>
        </w:rPr>
        <w:t>年</w:t>
      </w:r>
      <w:r>
        <w:t>6</w:t>
      </w:r>
      <w:r>
        <w:rPr>
          <w:rFonts w:hint="eastAsia"/>
        </w:rPr>
        <w:t>月，上海市政府发布《上海国际航运中心建设</w:t>
      </w:r>
      <w:r>
        <w:t>“</w:t>
      </w:r>
      <w:r>
        <w:rPr>
          <w:rFonts w:hint="eastAsia"/>
        </w:rPr>
        <w:t>十四五</w:t>
      </w:r>
      <w:r>
        <w:t>”</w:t>
      </w:r>
      <w:r>
        <w:rPr>
          <w:rFonts w:hint="eastAsia"/>
        </w:rPr>
        <w:t>规划》，明确要</w:t>
      </w:r>
      <w:r>
        <w:t>“</w:t>
      </w:r>
      <w:r>
        <w:rPr>
          <w:rFonts w:hint="eastAsia"/>
        </w:rPr>
        <w:t>基本建成便捷高效、功能完备、开放融合、绿色智慧、保障有力的世界一流国际航运中心</w:t>
      </w:r>
      <w:r>
        <w:t>”</w:t>
      </w:r>
      <w:r>
        <w:rPr>
          <w:rFonts w:hint="eastAsia"/>
        </w:rPr>
        <w:t>。</w:t>
      </w:r>
    </w:p>
    <w:p>
      <w:pPr>
        <w:pStyle w:val="56"/>
        <w:ind w:firstLine="420"/>
      </w:pPr>
      <w:r>
        <w:t>2022</w:t>
      </w:r>
      <w:r>
        <w:rPr>
          <w:rFonts w:hint="eastAsia"/>
        </w:rPr>
        <w:t>年</w:t>
      </w:r>
      <w:r>
        <w:t>1</w:t>
      </w:r>
      <w:r>
        <w:rPr>
          <w:rFonts w:hint="eastAsia"/>
        </w:rPr>
        <w:t>月</w:t>
      </w:r>
      <w:r>
        <w:t>26</w:t>
      </w:r>
      <w:r>
        <w:rPr>
          <w:rFonts w:hint="eastAsia"/>
        </w:rPr>
        <w:t>日，为进一步促进浦东航运业发展，浦东公布《浦东新区</w:t>
      </w:r>
      <w:r>
        <w:t>“</w:t>
      </w:r>
      <w:r>
        <w:rPr>
          <w:rFonts w:hint="eastAsia"/>
        </w:rPr>
        <w:t>十四五</w:t>
      </w:r>
      <w:r>
        <w:t>”</w:t>
      </w:r>
      <w:r>
        <w:rPr>
          <w:rFonts w:hint="eastAsia"/>
        </w:rPr>
        <w:t>期间促进航运业发展财政扶持办法》，明确规定对于落户于浦东的航运企业、航运机构，给予相应的资金扶持。</w:t>
      </w:r>
    </w:p>
    <w:p>
      <w:pPr>
        <w:pStyle w:val="56"/>
        <w:ind w:firstLine="420"/>
      </w:pPr>
      <w:r>
        <w:t>2022</w:t>
      </w:r>
      <w:r>
        <w:rPr>
          <w:rFonts w:hint="eastAsia"/>
        </w:rPr>
        <w:t>年</w:t>
      </w:r>
      <w:r>
        <w:t>2</w:t>
      </w:r>
      <w:r>
        <w:rPr>
          <w:rFonts w:hint="eastAsia"/>
        </w:rPr>
        <w:t>月</w:t>
      </w:r>
      <w:r>
        <w:t>23</w:t>
      </w:r>
      <w:r>
        <w:rPr>
          <w:rFonts w:hint="eastAsia"/>
        </w:rPr>
        <w:t>日，上海市推进上海国际航运中心建设领导小组会议上龚正市长指出，“要拉长板，</w:t>
      </w:r>
      <w:r>
        <w:t>……</w:t>
      </w:r>
      <w:r>
        <w:rPr>
          <w:rFonts w:hint="eastAsia"/>
        </w:rPr>
        <w:t>深入参与国际航运规则的制定。要锻新板，</w:t>
      </w:r>
      <w:r>
        <w:t>……</w:t>
      </w:r>
      <w:r>
        <w:rPr>
          <w:rFonts w:hint="eastAsia"/>
        </w:rPr>
        <w:t>以数字化转型赋能航运业蝶变跃升。要固底板，</w:t>
      </w:r>
      <w:r>
        <w:t>……</w:t>
      </w:r>
      <w:r>
        <w:rPr>
          <w:rFonts w:hint="eastAsia"/>
        </w:rPr>
        <w:t>扎实做好常态化防控和安全生产工作。”</w:t>
      </w:r>
    </w:p>
    <w:p>
      <w:pPr>
        <w:pStyle w:val="56"/>
        <w:ind w:firstLine="420"/>
      </w:pPr>
      <w:r>
        <w:rPr>
          <w:rFonts w:hint="eastAsia"/>
        </w:rPr>
        <w:t>根据上述文件和会议的精神，航运业数据合规能力的建设，是提升航运业整体软实力、建设国际航运中心及现代航运服务体系的重要组成部分。</w:t>
      </w:r>
    </w:p>
    <w:p>
      <w:pPr>
        <w:pStyle w:val="56"/>
        <w:ind w:firstLine="420"/>
      </w:pPr>
      <w:r>
        <w:rPr>
          <w:rFonts w:hint="eastAsia"/>
        </w:rPr>
        <w:t>《中华人民共和国网络安全法》《中华人民共和国数据安全法》《中华人民共和国个人信息保护法》等法律及相关法规出台后，企业普遍面临合规压力，但由于配套的实施细则尚未出台、我国的数据合规法律体系尚在完善当中，只是基础框架，还缺乏实施细则，企业此时普遍面临如何落实法律提出的合规要求的问题，无所适从。</w:t>
      </w:r>
    </w:p>
    <w:p>
      <w:pPr>
        <w:pStyle w:val="56"/>
        <w:ind w:firstLine="420"/>
      </w:pPr>
      <w:r>
        <w:rPr>
          <w:rFonts w:hint="eastAsia"/>
        </w:rPr>
        <w:t>因此，航运企业也迫切需要一份数据合规指南，为航运企业后续数据合规工作提供切实可行的操作手册。</w:t>
      </w: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31"/>
    <w:p>
      <w:pPr>
        <w:spacing w:line="20" w:lineRule="exact"/>
        <w:jc w:val="center"/>
        <w:rPr>
          <w:rFonts w:ascii="黑体" w:hAnsi="黑体" w:eastAsia="黑体"/>
          <w:sz w:val="32"/>
          <w:szCs w:val="32"/>
        </w:rPr>
      </w:pPr>
      <w:bookmarkStart w:id="32" w:name="BookMark4"/>
    </w:p>
    <w:p>
      <w:pPr>
        <w:spacing w:line="20" w:lineRule="exact"/>
        <w:jc w:val="center"/>
        <w:rPr>
          <w:rFonts w:ascii="黑体" w:hAnsi="黑体" w:eastAsia="黑体"/>
          <w:sz w:val="32"/>
          <w:szCs w:val="32"/>
        </w:rPr>
      </w:pPr>
    </w:p>
    <w:sdt>
      <w:sdtPr>
        <w:tag w:val="NEW_STAND_NAME"/>
        <w:id w:val="595910757"/>
        <w:lock w:val="sdtLocked"/>
        <w:placeholder>
          <w:docPart w:val="3DAB6E3D4DD04986870F868E9101D2E1"/>
        </w:placeholder>
      </w:sdtPr>
      <w:sdtContent>
        <w:p>
          <w:pPr>
            <w:pStyle w:val="177"/>
            <w:spacing w:before="240" w:beforeLines="100" w:after="2" w:afterLines="1"/>
          </w:pPr>
          <w:bookmarkStart w:id="33" w:name="NEW_STAND_NAME"/>
          <w:r>
            <w:rPr>
              <w:rFonts w:hint="eastAsia"/>
            </w:rPr>
            <w:t>航运大数据</w:t>
          </w:r>
          <w:r>
            <w:t xml:space="preserve"> 船舶</w:t>
          </w:r>
        </w:p>
        <w:p>
          <w:pPr>
            <w:pStyle w:val="177"/>
            <w:spacing w:before="2" w:beforeLines="1" w:after="680"/>
          </w:pPr>
          <w:r>
            <w:rPr>
              <w:rFonts w:hint="eastAsia"/>
            </w:rPr>
            <w:t>第</w:t>
          </w:r>
          <w:r>
            <w:t>2部分：数据安全合规指南</w:t>
          </w:r>
        </w:p>
      </w:sdtContent>
    </w:sdt>
    <w:bookmarkEnd w:id="33"/>
    <w:p>
      <w:pPr>
        <w:pStyle w:val="104"/>
        <w:spacing w:before="240" w:after="240"/>
      </w:pPr>
      <w:bookmarkStart w:id="34" w:name="_Toc26986771"/>
      <w:bookmarkStart w:id="35" w:name="_Toc17233333"/>
      <w:bookmarkStart w:id="36" w:name="_Toc26718930"/>
      <w:bookmarkStart w:id="37" w:name="_Toc97192964"/>
      <w:bookmarkStart w:id="38" w:name="_Toc24884211"/>
      <w:bookmarkStart w:id="39" w:name="_Toc24884218"/>
      <w:bookmarkStart w:id="40" w:name="_Toc26986530"/>
      <w:bookmarkStart w:id="41" w:name="_Toc26648465"/>
      <w:bookmarkStart w:id="42" w:name="_Toc17233325"/>
      <w:bookmarkStart w:id="43" w:name="_Toc142051708"/>
      <w:bookmarkStart w:id="44" w:name="_Toc142051761"/>
      <w:bookmarkStart w:id="45" w:name="_Toc142051873"/>
      <w:bookmarkStart w:id="46" w:name="_Toc142054864"/>
      <w:bookmarkStart w:id="47" w:name="_Toc142055932"/>
      <w:bookmarkStart w:id="48" w:name="_Toc142056358"/>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56"/>
        <w:ind w:firstLine="420"/>
      </w:pPr>
      <w:bookmarkStart w:id="49" w:name="_Toc26648466"/>
      <w:bookmarkStart w:id="50" w:name="_Toc26718931"/>
      <w:bookmarkStart w:id="51" w:name="_Toc142051709"/>
      <w:bookmarkStart w:id="52" w:name="_Toc24884212"/>
      <w:bookmarkStart w:id="53" w:name="_Toc26986531"/>
      <w:bookmarkStart w:id="54" w:name="_Toc142051762"/>
      <w:bookmarkStart w:id="55" w:name="_Toc24884219"/>
      <w:bookmarkStart w:id="56" w:name="_Toc26986772"/>
      <w:bookmarkStart w:id="57" w:name="_Toc17233334"/>
      <w:bookmarkStart w:id="58" w:name="_Toc97192965"/>
      <w:bookmarkStart w:id="59" w:name="_Toc142051874"/>
      <w:bookmarkStart w:id="60" w:name="_Toc17233326"/>
      <w:r>
        <w:rPr>
          <w:rFonts w:hint="eastAsia"/>
        </w:rPr>
        <w:t>本文件给出了船舶大数据安全合规相关的基本要求、组织管理、数据识别与分类分级、数据全生命周期安全管理、管理措施及评价改进等内容。</w:t>
      </w:r>
    </w:p>
    <w:p>
      <w:pPr>
        <w:pStyle w:val="56"/>
        <w:ind w:firstLine="420"/>
      </w:pPr>
      <w:r>
        <w:rPr>
          <w:rFonts w:hint="eastAsia"/>
        </w:rPr>
        <w:t>本文件适用于船舶大数据安全合规的管理。</w:t>
      </w:r>
    </w:p>
    <w:p>
      <w:pPr>
        <w:pStyle w:val="104"/>
        <w:spacing w:before="240" w:after="240"/>
      </w:pPr>
      <w:bookmarkStart w:id="61" w:name="_Toc142054865"/>
      <w:bookmarkStart w:id="62" w:name="_Toc142055933"/>
      <w:bookmarkStart w:id="63" w:name="_Toc142056359"/>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8915A94843C946FDB5EBF60E99ECBF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bookmarkStart w:id="64" w:name="_Toc97192966"/>
      <w:bookmarkStart w:id="65" w:name="_Toc142051710"/>
      <w:bookmarkStart w:id="66" w:name="_Toc142051875"/>
      <w:bookmarkStart w:id="67" w:name="_Toc142051763"/>
      <w:r>
        <w:t xml:space="preserve">GB/T 25069  </w:t>
      </w:r>
      <w:r>
        <w:rPr>
          <w:rFonts w:hint="eastAsia"/>
        </w:rPr>
        <w:t>信息安全技术术语</w:t>
      </w:r>
    </w:p>
    <w:p>
      <w:pPr>
        <w:pStyle w:val="56"/>
        <w:ind w:firstLine="420"/>
      </w:pPr>
      <w:r>
        <w:t>GB/T 29246</w:t>
      </w:r>
      <w:r>
        <w:rPr>
          <w:rFonts w:hint="eastAsia"/>
        </w:rPr>
        <w:t>-</w:t>
      </w:r>
      <w:r>
        <w:t xml:space="preserve">2017  </w:t>
      </w:r>
      <w:r>
        <w:rPr>
          <w:rFonts w:hint="eastAsia"/>
        </w:rPr>
        <w:t>信息技术安全技术信息安全管理体系概述和词汇</w:t>
      </w:r>
    </w:p>
    <w:p>
      <w:pPr>
        <w:pStyle w:val="56"/>
        <w:ind w:firstLine="420"/>
      </w:pPr>
      <w:r>
        <w:t>GB/T 35273</w:t>
      </w:r>
      <w:r>
        <w:rPr>
          <w:rFonts w:hint="eastAsia"/>
        </w:rPr>
        <w:t>-</w:t>
      </w:r>
      <w:r>
        <w:t xml:space="preserve">2020  </w:t>
      </w:r>
      <w:r>
        <w:rPr>
          <w:rFonts w:hint="eastAsia"/>
        </w:rPr>
        <w:t>信息安全技术个人信息安全规范</w:t>
      </w:r>
    </w:p>
    <w:p>
      <w:pPr>
        <w:pStyle w:val="56"/>
        <w:ind w:firstLine="420"/>
      </w:pPr>
      <w:r>
        <w:t>GB/T 37973</w:t>
      </w:r>
      <w:r>
        <w:rPr>
          <w:rFonts w:hint="eastAsia"/>
        </w:rPr>
        <w:t>-</w:t>
      </w:r>
      <w:r>
        <w:t xml:space="preserve">2019  </w:t>
      </w:r>
      <w:r>
        <w:rPr>
          <w:rFonts w:hint="eastAsia"/>
        </w:rPr>
        <w:t>信息安全技术大数据安全管理指南</w:t>
      </w:r>
    </w:p>
    <w:p>
      <w:pPr>
        <w:pStyle w:val="56"/>
        <w:ind w:firstLine="420"/>
      </w:pPr>
      <w:r>
        <w:t>GB/T 41479</w:t>
      </w:r>
      <w:r>
        <w:rPr>
          <w:rFonts w:hint="eastAsia"/>
        </w:rPr>
        <w:t>-</w:t>
      </w:r>
      <w:r>
        <w:t xml:space="preserve">2022  </w:t>
      </w:r>
      <w:r>
        <w:rPr>
          <w:rFonts w:hint="eastAsia"/>
        </w:rPr>
        <w:t>信息安全技术网络数据处理安全要求</w:t>
      </w:r>
    </w:p>
    <w:p>
      <w:pPr>
        <w:pStyle w:val="56"/>
        <w:ind w:firstLine="420"/>
      </w:pPr>
      <w:r>
        <w:t xml:space="preserve">ISO 37301  </w:t>
      </w:r>
      <w:r>
        <w:rPr>
          <w:rFonts w:hint="eastAsia"/>
        </w:rPr>
        <w:t>合规管理体系要求及使用指南</w:t>
      </w:r>
    </w:p>
    <w:p>
      <w:pPr>
        <w:pStyle w:val="104"/>
        <w:spacing w:before="240" w:after="240"/>
      </w:pPr>
      <w:bookmarkStart w:id="68" w:name="_Toc142056360"/>
      <w:bookmarkStart w:id="69" w:name="_Toc142054866"/>
      <w:bookmarkStart w:id="70" w:name="_Toc142055934"/>
      <w:r>
        <w:rPr>
          <w:rFonts w:hint="eastAsia"/>
          <w:szCs w:val="21"/>
        </w:rPr>
        <w:t>术语和定义</w:t>
      </w:r>
      <w:bookmarkEnd w:id="64"/>
      <w:bookmarkEnd w:id="65"/>
      <w:bookmarkEnd w:id="66"/>
      <w:bookmarkEnd w:id="67"/>
      <w:bookmarkEnd w:id="68"/>
      <w:bookmarkEnd w:id="69"/>
      <w:bookmarkEnd w:id="70"/>
    </w:p>
    <w:sdt>
      <w:sdtPr>
        <w:id w:val="-1909835108"/>
        <w:placeholder>
          <w:docPart w:val="9F5F8AB96D7D49CE939124C81573032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71" w:name="_Toc26986532"/>
          <w:bookmarkEnd w:id="71"/>
          <w:r>
            <w:rPr>
              <w:rFonts w:hint="eastAsia"/>
            </w:rPr>
            <w:t>GB/T 25069-2022和GB/T 29246-2017</w:t>
          </w:r>
          <w:r>
            <w:t>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安全 </w:t>
      </w:r>
      <w:r>
        <w:rPr>
          <w:rFonts w:ascii="黑体" w:hAnsi="黑体" w:eastAsia="黑体"/>
        </w:rPr>
        <w:t xml:space="preserve"> security</w:t>
      </w:r>
    </w:p>
    <w:p>
      <w:pPr>
        <w:pStyle w:val="56"/>
        <w:ind w:firstLine="420"/>
        <w:rPr>
          <w:rFonts w:hAnsi="宋体"/>
          <w:szCs w:val="21"/>
        </w:rPr>
      </w:pPr>
      <w:r>
        <w:rPr>
          <w:rFonts w:hint="eastAsia" w:hAnsi="宋体"/>
          <w:szCs w:val="21"/>
        </w:rPr>
        <w:t>对某一系统，据以获得保密性、完整性、可用性、可核查性、真实性以及可靠性的性质。</w:t>
      </w:r>
    </w:p>
    <w:p>
      <w:pPr>
        <w:pStyle w:val="56"/>
        <w:ind w:firstLine="420"/>
        <w:rPr>
          <w:rFonts w:hAnsi="宋体"/>
          <w:szCs w:val="21"/>
        </w:rPr>
      </w:pPr>
      <w:r>
        <w:t>[来源：</w:t>
      </w:r>
      <w:r>
        <w:rPr>
          <w:rFonts w:hAnsi="宋体"/>
          <w:szCs w:val="21"/>
        </w:rPr>
        <w:t>GB/T 25069-2022</w:t>
      </w:r>
      <w:r>
        <w:rPr>
          <w:rFonts w:hint="eastAsia" w:hAnsi="宋体"/>
          <w:szCs w:val="21"/>
        </w:rPr>
        <w:t>，3.</w:t>
      </w:r>
      <w:r>
        <w:rPr>
          <w:rFonts w:hAnsi="宋体"/>
          <w:szCs w:val="21"/>
        </w:rPr>
        <w:t>1</w:t>
      </w:r>
      <w: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数据安全 </w:t>
      </w:r>
      <w:r>
        <w:rPr>
          <w:rFonts w:ascii="黑体" w:hAnsi="黑体" w:eastAsia="黑体"/>
        </w:rPr>
        <w:t xml:space="preserve"> data security</w:t>
      </w:r>
    </w:p>
    <w:p>
      <w:pPr>
        <w:pStyle w:val="56"/>
        <w:ind w:firstLine="420"/>
        <w:rPr>
          <w:rFonts w:hAnsi="宋体"/>
          <w:szCs w:val="21"/>
        </w:rPr>
      </w:pPr>
      <w:r>
        <w:rPr>
          <w:rFonts w:hint="eastAsia" w:hAnsi="宋体"/>
          <w:szCs w:val="21"/>
        </w:rPr>
        <w:t>通过管理和技术措施</w:t>
      </w:r>
      <w:r>
        <w:rPr>
          <w:rFonts w:hAnsi="宋体"/>
          <w:szCs w:val="21"/>
        </w:rPr>
        <w:t>,</w:t>
      </w:r>
      <w:r>
        <w:rPr>
          <w:rFonts w:hint="eastAsia" w:hAnsi="宋体"/>
          <w:szCs w:val="21"/>
        </w:rPr>
        <w:t>确保数据有效保护和合规使用的状态。</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保密性 </w:t>
      </w:r>
      <w:r>
        <w:rPr>
          <w:rFonts w:ascii="黑体" w:hAnsi="黑体" w:eastAsia="黑体"/>
        </w:rPr>
        <w:t xml:space="preserve"> confidentiality</w:t>
      </w:r>
    </w:p>
    <w:p>
      <w:pPr>
        <w:pStyle w:val="56"/>
        <w:ind w:firstLine="420"/>
        <w:rPr>
          <w:rFonts w:hAnsi="宋体"/>
          <w:szCs w:val="21"/>
        </w:rPr>
      </w:pPr>
      <w:r>
        <w:rPr>
          <w:rFonts w:hint="eastAsia" w:hAnsi="宋体"/>
          <w:szCs w:val="21"/>
        </w:rPr>
        <w:t>信息对未授权的个人、实体或过程不可用或不泄露的性质。</w:t>
      </w:r>
    </w:p>
    <w:p>
      <w:pPr>
        <w:pStyle w:val="56"/>
        <w:ind w:firstLine="420"/>
      </w:pPr>
      <w:r>
        <w:t>[来源：</w:t>
      </w:r>
      <w:r>
        <w:rPr>
          <w:rFonts w:hAnsi="宋体"/>
          <w:szCs w:val="21"/>
        </w:rPr>
        <w:t>GB/T 25069-2022</w:t>
      </w:r>
      <w:r>
        <w:rPr>
          <w:rFonts w:hint="eastAsia" w:hAnsi="宋体"/>
          <w:szCs w:val="21"/>
        </w:rPr>
        <w:t>，3.</w:t>
      </w:r>
      <w:r>
        <w:rPr>
          <w:rFonts w:hAnsi="宋体"/>
          <w:szCs w:val="21"/>
        </w:rPr>
        <w:t>41</w:t>
      </w:r>
      <w: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完整性 </w:t>
      </w:r>
      <w:r>
        <w:rPr>
          <w:rFonts w:ascii="黑体" w:hAnsi="黑体" w:eastAsia="黑体"/>
        </w:rPr>
        <w:t xml:space="preserve"> </w:t>
      </w:r>
      <w:r>
        <w:rPr>
          <w:rFonts w:hint="eastAsia" w:ascii="黑体" w:hAnsi="黑体" w:eastAsia="黑体"/>
        </w:rPr>
        <w:t>integrity</w:t>
      </w:r>
    </w:p>
    <w:p>
      <w:pPr>
        <w:pStyle w:val="56"/>
        <w:ind w:firstLine="420"/>
        <w:rPr>
          <w:rFonts w:hAnsi="宋体"/>
          <w:szCs w:val="21"/>
        </w:rPr>
      </w:pPr>
      <w:r>
        <w:rPr>
          <w:rFonts w:hint="eastAsia" w:hAnsi="宋体"/>
          <w:szCs w:val="21"/>
        </w:rPr>
        <w:t>准确和完备的性质。</w:t>
      </w:r>
    </w:p>
    <w:p>
      <w:pPr>
        <w:pStyle w:val="56"/>
        <w:ind w:firstLine="420"/>
      </w:pPr>
      <w:r>
        <w:t>[来源：</w:t>
      </w:r>
      <w:r>
        <w:rPr>
          <w:rFonts w:hAnsi="宋体"/>
          <w:szCs w:val="21"/>
        </w:rPr>
        <w:t>GB/T 25069-2022</w:t>
      </w:r>
      <w:r>
        <w:rPr>
          <w:rFonts w:hint="eastAsia" w:hAnsi="宋体"/>
          <w:szCs w:val="21"/>
        </w:rPr>
        <w:t>，3.</w:t>
      </w:r>
      <w:r>
        <w:rPr>
          <w:rFonts w:hAnsi="宋体"/>
          <w:szCs w:val="21"/>
        </w:rPr>
        <w:t>612</w:t>
      </w:r>
      <w: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可用性 </w:t>
      </w:r>
      <w:r>
        <w:rPr>
          <w:rFonts w:ascii="黑体" w:hAnsi="黑体" w:eastAsia="黑体"/>
        </w:rPr>
        <w:t xml:space="preserve"> </w:t>
      </w:r>
      <w:r>
        <w:rPr>
          <w:rFonts w:hint="eastAsia" w:ascii="黑体" w:hAnsi="黑体" w:eastAsia="黑体"/>
        </w:rPr>
        <w:t>availability</w:t>
      </w:r>
    </w:p>
    <w:p>
      <w:pPr>
        <w:pStyle w:val="56"/>
        <w:ind w:firstLine="420"/>
        <w:rPr>
          <w:rFonts w:hAnsi="宋体"/>
          <w:szCs w:val="21"/>
        </w:rPr>
      </w:pPr>
      <w:r>
        <w:rPr>
          <w:rFonts w:hint="eastAsia" w:hAnsi="宋体"/>
          <w:szCs w:val="21"/>
        </w:rPr>
        <w:t>可由经授权实体按需访问和使用的性质。</w:t>
      </w:r>
    </w:p>
    <w:p>
      <w:pPr>
        <w:pStyle w:val="56"/>
        <w:ind w:firstLine="420"/>
      </w:pPr>
      <w:r>
        <w:t>[来源：</w:t>
      </w:r>
      <w:r>
        <w:rPr>
          <w:rFonts w:hAnsi="宋体"/>
          <w:szCs w:val="21"/>
        </w:rPr>
        <w:t>GB/T 25069-2022</w:t>
      </w:r>
      <w:r>
        <w:rPr>
          <w:rFonts w:hint="eastAsia" w:hAnsi="宋体"/>
          <w:szCs w:val="21"/>
        </w:rPr>
        <w:t>，3.</w:t>
      </w:r>
      <w:r>
        <w:rPr>
          <w:rFonts w:hAnsi="宋体"/>
          <w:szCs w:val="21"/>
        </w:rPr>
        <w:t>345</w:t>
      </w:r>
      <w: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合规 </w:t>
      </w:r>
      <w:r>
        <w:rPr>
          <w:rFonts w:ascii="黑体" w:hAnsi="黑体" w:eastAsia="黑体"/>
        </w:rPr>
        <w:t xml:space="preserve"> </w:t>
      </w:r>
      <w:r>
        <w:rPr>
          <w:rFonts w:hint="eastAsia" w:ascii="黑体" w:hAnsi="黑体" w:eastAsia="黑体"/>
        </w:rPr>
        <w:t>compliance</w:t>
      </w:r>
    </w:p>
    <w:p>
      <w:pPr>
        <w:pStyle w:val="56"/>
        <w:ind w:firstLine="420"/>
        <w:rPr>
          <w:rFonts w:hAnsi="宋体"/>
          <w:szCs w:val="21"/>
        </w:rPr>
      </w:pPr>
      <w:r>
        <w:rPr>
          <w:rFonts w:hint="eastAsia" w:hAnsi="宋体"/>
          <w:szCs w:val="21"/>
        </w:rPr>
        <w:t>履行组织的全部合规义务。</w:t>
      </w:r>
    </w:p>
    <w:p>
      <w:pPr>
        <w:pStyle w:val="56"/>
        <w:ind w:firstLine="420"/>
      </w:pPr>
      <w:r>
        <w:t>[来源：</w:t>
      </w:r>
      <w:r>
        <w:rPr>
          <w:rFonts w:hAnsi="宋体"/>
          <w:szCs w:val="21"/>
        </w:rPr>
        <w:t>GB/T 35770-2017 / ISO37301</w:t>
      </w:r>
      <w:r>
        <w:rPr>
          <w:rFonts w:hint="eastAsia" w:hAnsi="宋体"/>
          <w:szCs w:val="21"/>
        </w:rPr>
        <w:t>，3.</w:t>
      </w:r>
      <w:r>
        <w:rPr>
          <w:rFonts w:hAnsi="宋体"/>
          <w:szCs w:val="21"/>
        </w:rPr>
        <w:t>26</w:t>
      </w:r>
      <w: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数据处理 </w:t>
      </w:r>
      <w:r>
        <w:rPr>
          <w:rFonts w:ascii="黑体" w:hAnsi="黑体" w:eastAsia="黑体"/>
        </w:rPr>
        <w:t xml:space="preserve"> data processing</w:t>
      </w:r>
    </w:p>
    <w:p>
      <w:pPr>
        <w:pStyle w:val="56"/>
        <w:ind w:firstLine="420"/>
        <w:rPr>
          <w:rFonts w:hAnsi="宋体"/>
          <w:szCs w:val="21"/>
        </w:rPr>
      </w:pPr>
      <w:r>
        <w:rPr>
          <w:rFonts w:hint="eastAsia" w:hAnsi="宋体"/>
          <w:szCs w:val="21"/>
        </w:rPr>
        <w:t>对原始数据进行抽取、转换、加载的过程。</w:t>
      </w:r>
    </w:p>
    <w:p>
      <w:pPr>
        <w:pStyle w:val="180"/>
      </w:pPr>
      <w:r>
        <w:rPr>
          <w:rFonts w:hint="eastAsia"/>
        </w:rPr>
        <w:t>数据处理包括开发数据产品或数据分析等。</w:t>
      </w:r>
    </w:p>
    <w:p>
      <w:pPr>
        <w:pStyle w:val="180"/>
      </w:pPr>
      <w:r>
        <w:rPr>
          <w:rFonts w:hint="eastAsia"/>
        </w:rPr>
        <w:t>数据产品包括但不限于能访问原始数据，提供数据计算、数据存储、数据交换、数据分析、数据挖掘、数据展示等应用的软硬件产品。</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个人信息 </w:t>
      </w:r>
      <w:r>
        <w:rPr>
          <w:rFonts w:ascii="黑体" w:hAnsi="黑体" w:eastAsia="黑体"/>
        </w:rPr>
        <w:t xml:space="preserve"> personal information</w:t>
      </w:r>
    </w:p>
    <w:p>
      <w:pPr>
        <w:pStyle w:val="56"/>
        <w:ind w:firstLine="420"/>
        <w:rPr>
          <w:rFonts w:hAnsi="宋体"/>
          <w:szCs w:val="21"/>
        </w:rPr>
      </w:pPr>
      <w:r>
        <w:rPr>
          <w:rFonts w:hint="eastAsia" w:hAnsi="宋体"/>
          <w:szCs w:val="21"/>
        </w:rPr>
        <w:t>以电子或者其他方式记录的与已识别或者可识别的自然人有关的各种信息，不包括匿名化处理后的信息。</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公共数据 </w:t>
      </w:r>
      <w:r>
        <w:rPr>
          <w:rFonts w:ascii="黑体" w:hAnsi="黑体" w:eastAsia="黑体"/>
        </w:rPr>
        <w:t xml:space="preserve"> public data</w:t>
      </w:r>
    </w:p>
    <w:p>
      <w:pPr>
        <w:pStyle w:val="56"/>
        <w:ind w:firstLine="420"/>
        <w:rPr>
          <w:rFonts w:hAnsi="宋体"/>
          <w:szCs w:val="21"/>
        </w:rPr>
      </w:pPr>
      <w:r>
        <w:rPr>
          <w:rFonts w:hint="eastAsia" w:hAnsi="宋体"/>
          <w:szCs w:val="21"/>
        </w:rPr>
        <w:t>国家机关和依法经授权、受委托履行公共管理和服务职能的组织（以下统称公共管理和服务机构），在依法履行公共管理职责或提供公共服务过程中收集、产生的数据。</w:t>
      </w:r>
    </w:p>
    <w:p>
      <w:pPr>
        <w:pStyle w:val="180"/>
        <w:numPr>
          <w:ilvl w:val="0"/>
          <w:numId w:val="32"/>
        </w:numPr>
      </w:pPr>
      <w:r>
        <w:rPr>
          <w:rFonts w:hint="eastAsia"/>
        </w:rPr>
        <w:t>公共管理和服务机构，包括各级政务机关、事业单位，其他依法经授权或受委托管理公共事务的组织，以及供水、供电、供气、公共交通、教育、卫生健康、社会福利、环境保护等提供公共服务的组织。</w:t>
      </w:r>
    </w:p>
    <w:p>
      <w:pPr>
        <w:pStyle w:val="180"/>
      </w:pPr>
      <w:r>
        <w:rPr>
          <w:rFonts w:hint="eastAsia"/>
        </w:rPr>
        <w:t>公共数据通常不包括组织专有的知识产权数据和商业秘密。</w:t>
      </w:r>
    </w:p>
    <w:p>
      <w:pPr>
        <w:pStyle w:val="104"/>
        <w:spacing w:before="240" w:after="240"/>
      </w:pPr>
      <w:bookmarkStart w:id="72" w:name="_Toc142054867"/>
      <w:bookmarkStart w:id="73" w:name="_Toc142055935"/>
      <w:bookmarkStart w:id="74" w:name="_Toc142056361"/>
      <w:r>
        <w:rPr>
          <w:rFonts w:hint="eastAsia"/>
        </w:rPr>
        <w:t>基本要求</w:t>
      </w:r>
      <w:bookmarkEnd w:id="72"/>
      <w:bookmarkEnd w:id="73"/>
      <w:bookmarkEnd w:id="74"/>
    </w:p>
    <w:p>
      <w:pPr>
        <w:pStyle w:val="56"/>
        <w:ind w:firstLine="420"/>
      </w:pPr>
      <w:bookmarkStart w:id="75" w:name="_Toc109033709"/>
      <w:bookmarkStart w:id="76" w:name="_Toc142051714"/>
      <w:bookmarkStart w:id="77" w:name="_Toc142051879"/>
      <w:bookmarkStart w:id="78" w:name="_Toc142051767"/>
      <w:bookmarkStart w:id="79" w:name="_Toc9603"/>
      <w:r>
        <w:rPr>
          <w:rFonts w:hint="eastAsia"/>
        </w:rPr>
        <w:t>航运企业宜结合自身业务特点，在对自身数据资产进行全面盘点的基础上，对自身面临的风险点及合规需求进行分析，从组织管理、制度建设、数据生命周期管理等角度出发，建立企业数据合规制度。</w:t>
      </w:r>
    </w:p>
    <w:bookmarkEnd w:id="75"/>
    <w:bookmarkEnd w:id="76"/>
    <w:bookmarkEnd w:id="77"/>
    <w:bookmarkEnd w:id="78"/>
    <w:bookmarkEnd w:id="79"/>
    <w:p>
      <w:pPr>
        <w:pStyle w:val="104"/>
        <w:spacing w:before="240" w:after="240"/>
      </w:pPr>
      <w:bookmarkStart w:id="80" w:name="_Toc142055936"/>
      <w:bookmarkStart w:id="81" w:name="_Toc142054868"/>
      <w:bookmarkStart w:id="82" w:name="_Toc142056362"/>
      <w:r>
        <w:rPr>
          <w:rFonts w:hint="eastAsia"/>
        </w:rPr>
        <w:t>组织管理</w:t>
      </w:r>
      <w:bookmarkEnd w:id="80"/>
      <w:bookmarkEnd w:id="81"/>
      <w:bookmarkEnd w:id="82"/>
    </w:p>
    <w:p>
      <w:pPr>
        <w:pStyle w:val="105"/>
        <w:spacing w:before="120" w:after="120"/>
      </w:pPr>
      <w:bookmarkStart w:id="83" w:name="_Toc142054869"/>
      <w:bookmarkStart w:id="84" w:name="_Toc142055937"/>
      <w:bookmarkStart w:id="85" w:name="_Toc142056363"/>
      <w:r>
        <w:rPr>
          <w:rFonts w:hint="eastAsia"/>
        </w:rPr>
        <w:t>机构与岗位</w:t>
      </w:r>
      <w:bookmarkEnd w:id="83"/>
      <w:bookmarkEnd w:id="84"/>
      <w:bookmarkEnd w:id="85"/>
    </w:p>
    <w:p>
      <w:pPr>
        <w:pStyle w:val="165"/>
      </w:pPr>
      <w:bookmarkStart w:id="86" w:name="_Toc142051881"/>
      <w:bookmarkStart w:id="87" w:name="_Toc142051716"/>
      <w:bookmarkStart w:id="88" w:name="_Toc142051769"/>
      <w:r>
        <w:rPr>
          <w:rFonts w:hint="eastAsia"/>
        </w:rPr>
        <w:t>处理一般数据的航运企业（或称数据处理者），宜设置数据安全责任管理专职岗位，配备至少一名专职人员。</w:t>
      </w:r>
    </w:p>
    <w:p>
      <w:pPr>
        <w:pStyle w:val="165"/>
      </w:pPr>
      <w:r>
        <w:rPr>
          <w:rFonts w:hint="eastAsia"/>
        </w:rPr>
        <w:t>处理重要数据和核心数据的航运企业（或称数据处理者），宜建立覆盖本单位相关部门的数据安全管理责任工作体系，明确数据安全管理责任负责人和管理机构。本单位法定代表人或者主要负责人是数据安全管理第一责任人，领导团队中分管数据安全管理的成员是直接责任人。</w:t>
      </w:r>
    </w:p>
    <w:bookmarkEnd w:id="86"/>
    <w:bookmarkEnd w:id="87"/>
    <w:bookmarkEnd w:id="88"/>
    <w:p>
      <w:pPr>
        <w:pStyle w:val="105"/>
        <w:spacing w:before="120" w:after="120"/>
      </w:pPr>
      <w:bookmarkStart w:id="89" w:name="_Toc142055938"/>
      <w:bookmarkStart w:id="90" w:name="_Toc142056364"/>
      <w:bookmarkStart w:id="91" w:name="_Toc142054870"/>
      <w:r>
        <w:rPr>
          <w:rFonts w:hint="eastAsia"/>
        </w:rPr>
        <w:t>职责分工</w:t>
      </w:r>
      <w:bookmarkEnd w:id="89"/>
      <w:bookmarkEnd w:id="90"/>
      <w:bookmarkEnd w:id="91"/>
    </w:p>
    <w:p>
      <w:pPr>
        <w:pStyle w:val="165"/>
      </w:pPr>
      <w:r>
        <w:rPr>
          <w:rFonts w:hint="eastAsia"/>
        </w:rPr>
        <w:t>航运企业宜明确各部门数据安全管理职责，建立常态化沟通与协作机制。</w:t>
      </w:r>
    </w:p>
    <w:p>
      <w:pPr>
        <w:pStyle w:val="165"/>
      </w:pPr>
      <w:r>
        <w:rPr>
          <w:rFonts w:hint="eastAsia"/>
        </w:rPr>
        <w:t>航运企业应明确数据安全管理责任岗位、部门与各项工作执行落实部门责任分工界面。</w:t>
      </w:r>
    </w:p>
    <w:p>
      <w:pPr>
        <w:pStyle w:val="165"/>
      </w:pPr>
      <w:r>
        <w:rPr>
          <w:rFonts w:hint="eastAsia"/>
        </w:rPr>
        <w:t>航运企业应建立数据安全合规管理制度执行落实情况监督检查和考核问责制度。</w:t>
      </w:r>
    </w:p>
    <w:p>
      <w:pPr>
        <w:pStyle w:val="165"/>
      </w:pPr>
      <w:r>
        <w:rPr>
          <w:rFonts w:hint="eastAsia"/>
        </w:rPr>
        <w:t>处理重要数据和核心数据的航运企业宜明确由数据安全管理机构负责牵头承担企业内部数据安全管理工作，包括但不限于制定数据安全合规管理整体方针策略，协调相关部门建立数据安全技术保障措施，牵头做好数据安全应急处置，组织开展数据合规性评估、教育培训等工作。</w:t>
      </w:r>
    </w:p>
    <w:p>
      <w:pPr>
        <w:pStyle w:val="105"/>
        <w:spacing w:before="120" w:after="120"/>
      </w:pPr>
      <w:bookmarkStart w:id="92" w:name="_Toc142054871"/>
      <w:bookmarkStart w:id="93" w:name="_Toc142055939"/>
      <w:bookmarkStart w:id="94" w:name="_Toc142056365"/>
      <w:r>
        <w:rPr>
          <w:rFonts w:hint="eastAsia"/>
        </w:rPr>
        <w:t>人员保障</w:t>
      </w:r>
      <w:bookmarkEnd w:id="92"/>
      <w:bookmarkEnd w:id="93"/>
      <w:bookmarkEnd w:id="94"/>
    </w:p>
    <w:p>
      <w:pPr>
        <w:pStyle w:val="165"/>
      </w:pPr>
      <w:r>
        <w:rPr>
          <w:rFonts w:hint="eastAsia"/>
        </w:rPr>
        <w:t>处理重要数据和核心数据的航运企业宜在数据安全管理责任部门和相关部门配备与数据规模相匹配的数据安全管理专职人员，形成企业数据安全管理岗位人员名单。</w:t>
      </w:r>
    </w:p>
    <w:p>
      <w:pPr>
        <w:pStyle w:val="165"/>
      </w:pPr>
      <w:r>
        <w:rPr>
          <w:rFonts w:hint="eastAsia"/>
        </w:rPr>
        <w:t>宜确认数据处理关键岗位及人员，签署数据安全责任书，记录数据处理活动。</w:t>
      </w:r>
    </w:p>
    <w:p>
      <w:pPr>
        <w:pStyle w:val="165"/>
      </w:pPr>
      <w:r>
        <w:rPr>
          <w:rFonts w:hint="eastAsia"/>
        </w:rPr>
        <w:t>相关人员负责具体承担落实数据安全合规管理相关工作，包括但不限于权限管理、安全审计、应急响应、合规性评估、数据安全事件处置、信息安全事件处置和信息报送等工作。</w:t>
      </w:r>
    </w:p>
    <w:p>
      <w:pPr>
        <w:pStyle w:val="105"/>
        <w:spacing w:before="120" w:after="120"/>
      </w:pPr>
      <w:bookmarkStart w:id="95" w:name="_Toc142054872"/>
      <w:bookmarkStart w:id="96" w:name="_Toc142055940"/>
      <w:bookmarkStart w:id="97" w:name="_Toc142056366"/>
      <w:r>
        <w:rPr>
          <w:rFonts w:hint="eastAsia"/>
        </w:rPr>
        <w:t>资金保障</w:t>
      </w:r>
      <w:bookmarkEnd w:id="95"/>
      <w:bookmarkEnd w:id="96"/>
      <w:bookmarkEnd w:id="97"/>
    </w:p>
    <w:p>
      <w:pPr>
        <w:pStyle w:val="165"/>
      </w:pPr>
      <w:bookmarkStart w:id="98" w:name="_Toc987"/>
      <w:bookmarkStart w:id="99" w:name="_Toc142051717"/>
      <w:bookmarkStart w:id="100" w:name="_Toc142051770"/>
      <w:bookmarkStart w:id="101" w:name="_Toc142051882"/>
      <w:r>
        <w:rPr>
          <w:rFonts w:hint="eastAsia"/>
        </w:rPr>
        <w:t>航运企业宜就数据合规工作提供专项资金计划，并列入年度预算。</w:t>
      </w:r>
    </w:p>
    <w:p>
      <w:pPr>
        <w:pStyle w:val="165"/>
      </w:pPr>
      <w:r>
        <w:rPr>
          <w:rFonts w:hint="eastAsia"/>
        </w:rPr>
        <w:t>处理重要数据和核心数据的航运企业宜保障专门安全管理机构的运行经费，并依法依规严格规范经费使用和管理，防止资金挤占挪用。</w:t>
      </w:r>
    </w:p>
    <w:p>
      <w:pPr>
        <w:pStyle w:val="104"/>
        <w:spacing w:before="240" w:after="240"/>
      </w:pPr>
      <w:bookmarkStart w:id="102" w:name="_Toc142054873"/>
      <w:bookmarkStart w:id="103" w:name="_Toc142055941"/>
      <w:bookmarkStart w:id="104" w:name="_Toc142056367"/>
      <w:r>
        <w:rPr>
          <w:rFonts w:hint="eastAsia"/>
        </w:rPr>
        <w:t>数据识别与分类</w:t>
      </w:r>
      <w:bookmarkEnd w:id="98"/>
      <w:bookmarkEnd w:id="99"/>
      <w:bookmarkEnd w:id="100"/>
      <w:bookmarkEnd w:id="101"/>
      <w:r>
        <w:rPr>
          <w:rFonts w:hint="eastAsia"/>
        </w:rPr>
        <w:t>分级</w:t>
      </w:r>
      <w:bookmarkEnd w:id="102"/>
      <w:bookmarkEnd w:id="103"/>
      <w:bookmarkEnd w:id="104"/>
    </w:p>
    <w:p>
      <w:pPr>
        <w:pStyle w:val="105"/>
        <w:spacing w:before="120" w:after="120"/>
        <w:rPr>
          <w:rFonts w:ascii="Arial" w:hAnsi="Arial"/>
        </w:rPr>
      </w:pPr>
      <w:bookmarkStart w:id="105" w:name="_Toc142054874"/>
      <w:bookmarkStart w:id="106" w:name="_Toc142055942"/>
      <w:bookmarkStart w:id="107" w:name="_Toc142056368"/>
      <w:bookmarkStart w:id="108" w:name="_Toc142051883"/>
      <w:bookmarkStart w:id="109" w:name="_Toc142051771"/>
      <w:bookmarkStart w:id="110" w:name="_Toc16542"/>
      <w:bookmarkStart w:id="111" w:name="_Toc142051718"/>
      <w:r>
        <w:rPr>
          <w:rFonts w:hint="eastAsia"/>
        </w:rPr>
        <w:t>航运数据资产盘点</w:t>
      </w:r>
      <w:bookmarkEnd w:id="105"/>
      <w:bookmarkEnd w:id="106"/>
      <w:bookmarkEnd w:id="107"/>
    </w:p>
    <w:p>
      <w:pPr>
        <w:pStyle w:val="56"/>
        <w:ind w:firstLine="420"/>
        <w:rPr>
          <w:rFonts w:ascii="Arial" w:hAnsi="Arial"/>
        </w:rPr>
      </w:pPr>
      <w:r>
        <w:rPr>
          <w:rFonts w:hint="eastAsia" w:ascii="Arial" w:hAnsi="Arial"/>
        </w:rPr>
        <w:t>航运企业宜对数据资产进行梳理与判断，并在此基础上对数据进行分类分级。</w:t>
      </w:r>
    </w:p>
    <w:p>
      <w:pPr>
        <w:pStyle w:val="105"/>
        <w:spacing w:before="120" w:after="120"/>
        <w:rPr>
          <w:b/>
          <w:bCs/>
        </w:rPr>
      </w:pPr>
      <w:bookmarkStart w:id="112" w:name="_Toc142054875"/>
      <w:bookmarkStart w:id="113" w:name="_Toc142055943"/>
      <w:bookmarkStart w:id="114" w:name="_Toc142056369"/>
      <w:r>
        <w:rPr>
          <w:rFonts w:hint="eastAsia"/>
        </w:rPr>
        <w:t>航运数据分类分级</w:t>
      </w:r>
      <w:bookmarkEnd w:id="112"/>
      <w:bookmarkEnd w:id="113"/>
      <w:bookmarkEnd w:id="114"/>
    </w:p>
    <w:p>
      <w:pPr>
        <w:pStyle w:val="165"/>
      </w:pPr>
      <w:r>
        <w:rPr>
          <w:rFonts w:hint="eastAsia"/>
        </w:rPr>
        <w:t>航运企业宜按照数据一旦遭到纂改、破坏、泄露或者非法获取、非法利用，对国家安全、公共利益或者个人、组织合法权益造成的危害程度，将航运数据从低到高分成一般数据、重要数据、核心数据共三个级别。</w:t>
      </w:r>
    </w:p>
    <w:p>
      <w:pPr>
        <w:pStyle w:val="165"/>
        <w:rPr>
          <w:rFonts w:ascii="Times New Roman"/>
        </w:rPr>
      </w:pPr>
      <w:r>
        <w:rPr>
          <w:rFonts w:hint="eastAsia"/>
        </w:rPr>
        <w:t>对于一般数据，航运企业宜按照数据一旦遭</w:t>
      </w:r>
      <w:r>
        <w:rPr>
          <w:rFonts w:hint="eastAsia" w:hAnsi="宋体"/>
        </w:rPr>
        <w:t>到篡改、破坏、泄露或者非法获取、非法利用，对个人、组织合法权益造成的危害程度，将一般数据从低到高分为</w:t>
      </w:r>
      <w:r>
        <w:rPr>
          <w:rFonts w:hAnsi="宋体"/>
        </w:rPr>
        <w:t>1</w:t>
      </w:r>
      <w:r>
        <w:rPr>
          <w:rFonts w:hint="eastAsia" w:hAnsi="宋体"/>
        </w:rPr>
        <w:t>级、</w:t>
      </w:r>
      <w:r>
        <w:rPr>
          <w:rFonts w:hAnsi="宋体"/>
        </w:rPr>
        <w:t>2</w:t>
      </w:r>
      <w:r>
        <w:rPr>
          <w:rFonts w:hint="eastAsia" w:hAnsi="宋体"/>
        </w:rPr>
        <w:t>级、</w:t>
      </w:r>
      <w:r>
        <w:rPr>
          <w:rFonts w:hAnsi="宋体"/>
        </w:rPr>
        <w:t>3</w:t>
      </w:r>
      <w:r>
        <w:rPr>
          <w:rFonts w:hint="eastAsia" w:hAnsi="宋体"/>
        </w:rPr>
        <w:t>级、</w:t>
      </w:r>
      <w:r>
        <w:rPr>
          <w:rFonts w:hAnsi="宋体"/>
        </w:rPr>
        <w:t>4</w:t>
      </w:r>
      <w:r>
        <w:rPr>
          <w:rFonts w:hint="eastAsia" w:hAnsi="宋体"/>
        </w:rPr>
        <w:t>级共四</w:t>
      </w:r>
      <w:r>
        <w:rPr>
          <w:rFonts w:hint="eastAsia"/>
        </w:rPr>
        <w:t>个级别。</w:t>
      </w:r>
    </w:p>
    <w:p>
      <w:pPr>
        <w:pStyle w:val="174"/>
      </w:pPr>
      <w:r>
        <w:rPr>
          <w:lang w:val="en-GB"/>
        </w:rPr>
        <w:t>1</w:t>
      </w:r>
      <w:r>
        <w:rPr>
          <w:rFonts w:hint="eastAsia"/>
        </w:rPr>
        <w:t>级数据：数据一旦遭到篡改、破坏、泄露或者非法获取、非法利用，不会对个人合法权益、组织合法权益造成危害。</w:t>
      </w:r>
      <w:r>
        <w:t>1</w:t>
      </w:r>
      <w:r>
        <w:rPr>
          <w:rFonts w:hint="eastAsia"/>
        </w:rPr>
        <w:t>级数据具有公共传播属性，可对外公开发布、转发传播，但也需考虑公开的数据量及类别，避免由于类别较多或者数量过大被用于关联分析；</w:t>
      </w:r>
    </w:p>
    <w:p>
      <w:pPr>
        <w:pStyle w:val="174"/>
      </w:pPr>
      <w:r>
        <w:t>2</w:t>
      </w:r>
      <w:r>
        <w:rPr>
          <w:rFonts w:hint="eastAsia"/>
        </w:rPr>
        <w:t>级数据：数据一旦遭到篡改、破坏、泄露或者非法获取、非法利用，可能对个人合法权益、组织合法权益造成轻微危害。</w:t>
      </w:r>
      <w:r>
        <w:t>2</w:t>
      </w:r>
      <w:r>
        <w:rPr>
          <w:rFonts w:hint="eastAsia"/>
        </w:rPr>
        <w:t>级数据通常在组织内部、关联方共享和使用，相关方授权后可向组织外部共享；</w:t>
      </w:r>
    </w:p>
    <w:p>
      <w:pPr>
        <w:pStyle w:val="174"/>
      </w:pPr>
      <w:r>
        <w:t>3</w:t>
      </w:r>
      <w:r>
        <w:rPr>
          <w:rFonts w:hint="eastAsia"/>
        </w:rPr>
        <w:t>级数据：数据一旦遭到篡改、破坏、泄露或者非法获取、非法利用，可能对个人</w:t>
      </w:r>
      <w:r>
        <w:rPr>
          <w:rFonts w:hint="eastAsia"/>
          <w:lang w:val="en-GB"/>
        </w:rPr>
        <w:t>合法</w:t>
      </w:r>
      <w:r>
        <w:rPr>
          <w:rFonts w:hint="eastAsia"/>
        </w:rPr>
        <w:t>权益、组织合法权益造成一般危害。</w:t>
      </w:r>
      <w:r>
        <w:t>3</w:t>
      </w:r>
      <w:r>
        <w:rPr>
          <w:rFonts w:hint="eastAsia"/>
        </w:rPr>
        <w:t>级数据仅能由授权的内部机构或人员访问，如果要将数据共享到外部，需要满足相关条件并获得相关方的授权；</w:t>
      </w:r>
    </w:p>
    <w:p>
      <w:pPr>
        <w:pStyle w:val="174"/>
      </w:pPr>
      <w:r>
        <w:t>4</w:t>
      </w:r>
      <w:r>
        <w:rPr>
          <w:rFonts w:hint="eastAsia"/>
        </w:rPr>
        <w:t>级数据：数据一旦遭到篡改、破坏、泄露或者非法获取、非法利用，可能对个人合法权益、组织合法权益造成严重危害，但不会危害国家安全或公共利益。</w:t>
      </w:r>
      <w:r>
        <w:t>4</w:t>
      </w:r>
      <w:r>
        <w:rPr>
          <w:rFonts w:hint="eastAsia"/>
        </w:rPr>
        <w:t>级数据按照批准的授权列表严格管理，仅能在受控范围内经过严格审批、评估后才可共享或传播。</w:t>
      </w:r>
    </w:p>
    <w:p>
      <w:pPr>
        <w:pStyle w:val="105"/>
        <w:spacing w:before="120" w:after="120"/>
      </w:pPr>
      <w:bookmarkStart w:id="115" w:name="_Toc142054876"/>
      <w:bookmarkStart w:id="116" w:name="_Toc142055944"/>
      <w:bookmarkStart w:id="117" w:name="_Toc142056370"/>
      <w:r>
        <w:rPr>
          <w:rFonts w:hint="eastAsia"/>
        </w:rPr>
        <w:t>个人信息识别</w:t>
      </w:r>
      <w:bookmarkEnd w:id="115"/>
      <w:bookmarkEnd w:id="116"/>
      <w:bookmarkEnd w:id="117"/>
    </w:p>
    <w:p>
      <w:pPr>
        <w:pStyle w:val="56"/>
        <w:ind w:firstLine="420"/>
      </w:pPr>
      <w:r>
        <w:rPr>
          <w:rFonts w:hint="eastAsia"/>
        </w:rPr>
        <w:t>通过分析特定自然人与数据之间的关系，符合下述情形之一的航运数据，可判定为个人信息：</w:t>
      </w:r>
      <w:r>
        <w:t xml:space="preserve"> </w:t>
      </w:r>
    </w:p>
    <w:p>
      <w:pPr>
        <w:pStyle w:val="174"/>
        <w:numPr>
          <w:ilvl w:val="0"/>
          <w:numId w:val="33"/>
        </w:numPr>
      </w:pPr>
      <w:r>
        <w:rPr>
          <w:rFonts w:hint="eastAsia"/>
        </w:rPr>
        <w:t>可识别特定自然人：即从数据到个人，依据数据本身的特殊性可识别出特定自然人，包括单独或结合其他信息识别出特定自然人。</w:t>
      </w:r>
    </w:p>
    <w:p>
      <w:pPr>
        <w:pStyle w:val="174"/>
      </w:pPr>
      <w:r>
        <w:rPr>
          <w:rFonts w:hint="eastAsia"/>
        </w:rPr>
        <w:t>与特定自然人关联：即从个人到数据，如已知特定自然人，由该特定自然人在其活动中产生的数据（如个人位置信息、个人通话记录、网页浏览记录等），可识别为个人信息。</w:t>
      </w:r>
    </w:p>
    <w:p>
      <w:pPr>
        <w:pStyle w:val="105"/>
        <w:spacing w:before="120" w:after="120"/>
      </w:pPr>
      <w:bookmarkStart w:id="118" w:name="_Toc142056371"/>
      <w:bookmarkStart w:id="119" w:name="_Toc142054877"/>
      <w:bookmarkStart w:id="120" w:name="_Toc142055945"/>
      <w:r>
        <w:rPr>
          <w:rFonts w:hint="eastAsia"/>
        </w:rPr>
        <w:t>公共数据识别</w:t>
      </w:r>
      <w:bookmarkEnd w:id="118"/>
      <w:bookmarkEnd w:id="119"/>
      <w:bookmarkEnd w:id="120"/>
    </w:p>
    <w:p>
      <w:pPr>
        <w:pStyle w:val="56"/>
        <w:ind w:firstLine="420"/>
      </w:pPr>
      <w:r>
        <w:rPr>
          <w:rFonts w:hint="eastAsia"/>
        </w:rPr>
        <w:t>符合以下任一情形的航运数据，可识别为公共数据：</w:t>
      </w:r>
    </w:p>
    <w:p>
      <w:pPr>
        <w:pStyle w:val="174"/>
        <w:numPr>
          <w:ilvl w:val="0"/>
          <w:numId w:val="34"/>
        </w:numPr>
      </w:pPr>
      <w:r>
        <w:rPr>
          <w:rFonts w:hint="eastAsia"/>
        </w:rPr>
        <w:t>各级政务机关在依法履行公共管理和服务职能过程中收集和产生的数据；</w:t>
      </w:r>
    </w:p>
    <w:p>
      <w:pPr>
        <w:pStyle w:val="174"/>
      </w:pPr>
      <w:r>
        <w:rPr>
          <w:rFonts w:hint="eastAsia"/>
        </w:rPr>
        <w:t>具有公共管理和服务职能的企事业单位和社会团体，在依法履行公共管理和服务职能过程中收集和产生的数据；</w:t>
      </w:r>
    </w:p>
    <w:p>
      <w:pPr>
        <w:pStyle w:val="174"/>
      </w:pPr>
      <w:r>
        <w:rPr>
          <w:rFonts w:hint="eastAsia"/>
        </w:rPr>
        <w:t>提供公共服务的组织,在开展公共服务（如供水、供电、供热供气、教育、医疗、公共交通、通信、邮政、养老、环保等）过程中收集和产生的数据；</w:t>
      </w:r>
    </w:p>
    <w:p>
      <w:pPr>
        <w:pStyle w:val="174"/>
      </w:pPr>
      <w:r>
        <w:rPr>
          <w:rFonts w:hint="eastAsia"/>
        </w:rPr>
        <w:t>在为国家机关提供服务，参与公共基础设施、公共服务系统建设运维管理，利用公共资源提供服务过程中收集、产生的数据。</w:t>
      </w:r>
    </w:p>
    <w:p>
      <w:pPr>
        <w:pStyle w:val="105"/>
        <w:spacing w:before="120" w:after="120"/>
      </w:pPr>
      <w:bookmarkStart w:id="121" w:name="_Toc142055946"/>
      <w:bookmarkStart w:id="122" w:name="_Toc142054878"/>
      <w:bookmarkStart w:id="123" w:name="_Toc142056372"/>
      <w:r>
        <w:rPr>
          <w:rFonts w:hint="eastAsia"/>
        </w:rPr>
        <w:t>数据合规风险识别</w:t>
      </w:r>
      <w:bookmarkEnd w:id="121"/>
      <w:bookmarkEnd w:id="122"/>
      <w:bookmarkEnd w:id="123"/>
    </w:p>
    <w:p>
      <w:pPr>
        <w:pStyle w:val="56"/>
        <w:ind w:firstLine="420"/>
      </w:pPr>
      <w:r>
        <w:rPr>
          <w:rFonts w:hint="eastAsia"/>
        </w:rPr>
        <w:t>航运企业宜从以下方面考虑自身面临的数据合规风险：</w:t>
      </w:r>
    </w:p>
    <w:p>
      <w:pPr>
        <w:pStyle w:val="174"/>
        <w:numPr>
          <w:ilvl w:val="0"/>
          <w:numId w:val="35"/>
        </w:numPr>
      </w:pPr>
      <w:r>
        <w:rPr>
          <w:rFonts w:hint="eastAsia"/>
        </w:rPr>
        <w:t>企业的整体业务战略与目标；</w:t>
      </w:r>
    </w:p>
    <w:p>
      <w:pPr>
        <w:pStyle w:val="174"/>
      </w:pPr>
      <w:r>
        <w:rPr>
          <w:rFonts w:hint="eastAsia"/>
        </w:rPr>
        <w:t>企业及其合同相对方必须满足的法律、法规、规章制度和合同要求，及社会文化环境；</w:t>
      </w:r>
    </w:p>
    <w:p>
      <w:pPr>
        <w:pStyle w:val="174"/>
      </w:pPr>
      <w:r>
        <w:rPr>
          <w:rFonts w:hint="eastAsia"/>
        </w:rPr>
        <w:t>企业为支持其运行，针对信息的收集、处理、存储、传输和删除而建立的原则、目标和业务要求。</w:t>
      </w:r>
    </w:p>
    <w:bookmarkEnd w:id="108"/>
    <w:bookmarkEnd w:id="109"/>
    <w:bookmarkEnd w:id="110"/>
    <w:bookmarkEnd w:id="111"/>
    <w:p>
      <w:pPr>
        <w:pStyle w:val="104"/>
        <w:spacing w:before="240" w:after="240"/>
      </w:pPr>
      <w:bookmarkStart w:id="124" w:name="_Toc142055947"/>
      <w:bookmarkStart w:id="125" w:name="_Toc142056373"/>
      <w:bookmarkStart w:id="126" w:name="_Toc142054879"/>
      <w:r>
        <w:rPr>
          <w:rFonts w:hint="eastAsia"/>
        </w:rPr>
        <w:t>数据全生命周期合规管理</w:t>
      </w:r>
      <w:bookmarkEnd w:id="124"/>
      <w:bookmarkEnd w:id="125"/>
      <w:bookmarkEnd w:id="126"/>
    </w:p>
    <w:p>
      <w:pPr>
        <w:pStyle w:val="105"/>
        <w:spacing w:before="120" w:after="120"/>
      </w:pPr>
      <w:bookmarkStart w:id="127" w:name="_Toc142056374"/>
      <w:bookmarkStart w:id="128" w:name="_Toc142055948"/>
      <w:bookmarkStart w:id="129" w:name="_Toc142054880"/>
      <w:r>
        <w:rPr>
          <w:rFonts w:hint="eastAsia"/>
        </w:rPr>
        <w:t>数据收集</w:t>
      </w:r>
      <w:bookmarkEnd w:id="127"/>
      <w:bookmarkEnd w:id="128"/>
      <w:bookmarkEnd w:id="129"/>
    </w:p>
    <w:p>
      <w:pPr>
        <w:pStyle w:val="165"/>
      </w:pPr>
      <w:r>
        <w:rPr>
          <w:rFonts w:hint="eastAsia"/>
        </w:rPr>
        <w:t>数据处理者收集数据宜遵循合法、正当、必要的原则，不得窃取或者以其他非法方式收集数据。</w:t>
      </w:r>
    </w:p>
    <w:p>
      <w:pPr>
        <w:pStyle w:val="165"/>
      </w:pPr>
      <w:r>
        <w:rPr>
          <w:rFonts w:hint="eastAsia"/>
        </w:rPr>
        <w:t>数据处理者宜制定数据收集规则。宜采取配备技术手段、签署安全协议等措施加强对数据收集人员、设备的管理，并对数据收集的时间、类型、数量、频度、流向等进行记录，并定期根据规则在业务系统中执行数据收集合规性审查。</w:t>
      </w:r>
    </w:p>
    <w:p>
      <w:pPr>
        <w:pStyle w:val="165"/>
      </w:pPr>
      <w:r>
        <w:rPr>
          <w:rFonts w:hint="eastAsia"/>
        </w:rPr>
        <w:t>通过间接途径获取数据的，宜要求数据提供方做出数据源合法性的书面承诺，并承担相应的法律责任。</w:t>
      </w:r>
    </w:p>
    <w:p>
      <w:pPr>
        <w:pStyle w:val="165"/>
      </w:pPr>
      <w:r>
        <w:rPr>
          <w:rFonts w:hint="eastAsia"/>
        </w:rPr>
        <w:t>宜保障训练数据可追溯性，记录训练数据获取时间、来源、数据量、存储介质的标识、采样方法，并保证训练数据有完整签名或校验码。明确训练数据不包含标签错误、记录造假等恶意伪造的药饵数据。</w:t>
      </w:r>
    </w:p>
    <w:p>
      <w:pPr>
        <w:pStyle w:val="105"/>
        <w:spacing w:before="120" w:after="120"/>
      </w:pPr>
      <w:bookmarkStart w:id="130" w:name="_Toc142056375"/>
      <w:bookmarkStart w:id="131" w:name="_Toc142054881"/>
      <w:bookmarkStart w:id="132" w:name="_Toc142055949"/>
      <w:r>
        <w:rPr>
          <w:rFonts w:hint="eastAsia" w:hAnsi="宋体"/>
        </w:rPr>
        <w:t>数据存储</w:t>
      </w:r>
      <w:bookmarkEnd w:id="130"/>
      <w:bookmarkEnd w:id="131"/>
      <w:bookmarkEnd w:id="132"/>
    </w:p>
    <w:p>
      <w:pPr>
        <w:pStyle w:val="165"/>
      </w:pPr>
      <w:r>
        <w:rPr>
          <w:rFonts w:hint="eastAsia"/>
        </w:rPr>
        <w:t>数据处理者宜依据法律规定或者与用户约定的方式和期限存储数据。宜防止训练数据在传输、存储环节被窃取或篡改，防止数据存储、使用等环节被投放药饵数据。</w:t>
      </w:r>
    </w:p>
    <w:p>
      <w:pPr>
        <w:pStyle w:val="165"/>
      </w:pPr>
      <w:r>
        <w:rPr>
          <w:rFonts w:hint="eastAsia"/>
        </w:rPr>
        <w:t>存储重要数据的，还宜采用校验技术、密码技术等措施进行安全存储，不得直接提供存储系统的公共信息网络访问，并实施数据容灾备份和存储介质安全管理，定期开展数据恢复测试。存储核心数据的，还宜实施异地容灾备份。</w:t>
      </w:r>
    </w:p>
    <w:p>
      <w:pPr>
        <w:pStyle w:val="105"/>
        <w:spacing w:before="120" w:after="120"/>
      </w:pPr>
      <w:bookmarkStart w:id="133" w:name="_Toc142056376"/>
      <w:bookmarkStart w:id="134" w:name="_Toc142055950"/>
      <w:bookmarkStart w:id="135" w:name="_Toc142054882"/>
      <w:r>
        <w:rPr>
          <w:rFonts w:hint="eastAsia"/>
        </w:rPr>
        <w:t>数据使用加工</w:t>
      </w:r>
      <w:bookmarkEnd w:id="133"/>
      <w:bookmarkEnd w:id="134"/>
      <w:bookmarkEnd w:id="135"/>
    </w:p>
    <w:p>
      <w:pPr>
        <w:pStyle w:val="165"/>
      </w:pPr>
      <w:bookmarkStart w:id="136" w:name="_Toc142051774"/>
      <w:bookmarkStart w:id="137" w:name="_Toc142051721"/>
      <w:bookmarkStart w:id="138" w:name="_Toc142051886"/>
      <w:r>
        <w:rPr>
          <w:rFonts w:hint="eastAsia"/>
        </w:rPr>
        <w:t>数据处理者未经个人、组织等同意，不得使用数据挖掘、关联分析等技术手段针对特定主体进行精准画像、数据复原等加工处理活动。</w:t>
      </w:r>
    </w:p>
    <w:p>
      <w:pPr>
        <w:pStyle w:val="165"/>
      </w:pPr>
      <w:r>
        <w:rPr>
          <w:rFonts w:hint="eastAsia"/>
        </w:rPr>
        <w:t>利用数据进行自动化决策的，宜保证决策的透明度和结果公平合理。使用、加工重要数据和核心数据的，还宜加强访问控制，建立登记、审批机制并留存记录。</w:t>
      </w:r>
    </w:p>
    <w:p>
      <w:pPr>
        <w:pStyle w:val="165"/>
      </w:pPr>
      <w:r>
        <w:rPr>
          <w:rFonts w:hint="eastAsia"/>
        </w:rPr>
        <w:t>数据处理者宜建立数据资源持有权、数据加工使用权、数据产品经营权等分置的产权运行机制，深度参与对原始数据的使用加工和开发利用，积极开展航运数据流通和交易。数据处理者宜依法依规行使数据应用相关权利，促进数据使用价值复用与充分利用，促进数据使用权交换和市场化流通。宜审慎对待原始数据的流转交易行为。</w:t>
      </w:r>
    </w:p>
    <w:bookmarkEnd w:id="136"/>
    <w:bookmarkEnd w:id="137"/>
    <w:bookmarkEnd w:id="138"/>
    <w:p>
      <w:pPr>
        <w:pStyle w:val="105"/>
        <w:spacing w:before="120" w:after="120"/>
      </w:pPr>
      <w:bookmarkStart w:id="139" w:name="_Toc142054883"/>
      <w:bookmarkStart w:id="140" w:name="_Toc142056377"/>
      <w:bookmarkStart w:id="141" w:name="_Toc142055951"/>
      <w:r>
        <w:rPr>
          <w:rFonts w:hint="eastAsia"/>
        </w:rPr>
        <w:t>数据传输</w:t>
      </w:r>
      <w:bookmarkEnd w:id="139"/>
      <w:bookmarkEnd w:id="140"/>
      <w:bookmarkEnd w:id="141"/>
    </w:p>
    <w:p>
      <w:pPr>
        <w:pStyle w:val="165"/>
      </w:pPr>
      <w:r>
        <w:rPr>
          <w:rFonts w:hint="eastAsia"/>
        </w:rPr>
        <w:t>数据处理者宜根据传输的数据类型、级别和应用场景，制定安全策略并采取保护措施。</w:t>
      </w:r>
    </w:p>
    <w:p>
      <w:pPr>
        <w:pStyle w:val="165"/>
      </w:pPr>
      <w:r>
        <w:rPr>
          <w:rFonts w:hint="eastAsia"/>
        </w:rPr>
        <w:t>传输重要数据和核心数据的，宜采取校验技术、密码技术、安全传输通道或者安全传输协议等措施。</w:t>
      </w:r>
    </w:p>
    <w:p>
      <w:pPr>
        <w:pStyle w:val="165"/>
      </w:pPr>
      <w:r>
        <w:rPr>
          <w:rFonts w:hint="eastAsia"/>
        </w:rPr>
        <w:t>涉及跨组织机构或者使用公共信息网络进行数据传输的，宜建立登记、审批机制。</w:t>
      </w:r>
    </w:p>
    <w:p>
      <w:pPr>
        <w:pStyle w:val="165"/>
      </w:pPr>
      <w:r>
        <w:rPr>
          <w:rFonts w:hint="eastAsia"/>
        </w:rPr>
        <w:t>跨不同数据处理主体传输核心数据的，宜通过国家数据安全工作协调机制审批。</w:t>
      </w:r>
    </w:p>
    <w:p>
      <w:pPr>
        <w:pStyle w:val="105"/>
        <w:spacing w:before="120" w:after="120"/>
      </w:pPr>
      <w:bookmarkStart w:id="142" w:name="_Toc142054884"/>
      <w:bookmarkStart w:id="143" w:name="_Toc142055952"/>
      <w:bookmarkStart w:id="144" w:name="_Toc142056378"/>
      <w:r>
        <w:rPr>
          <w:rFonts w:hint="eastAsia"/>
        </w:rPr>
        <w:t>数据提供</w:t>
      </w:r>
      <w:bookmarkEnd w:id="142"/>
      <w:bookmarkEnd w:id="143"/>
      <w:bookmarkEnd w:id="144"/>
    </w:p>
    <w:p>
      <w:pPr>
        <w:pStyle w:val="165"/>
      </w:pPr>
      <w:r>
        <w:rPr>
          <w:rFonts w:hint="eastAsia"/>
        </w:rPr>
        <w:t>数据处理者提供数据，宜明确提供的范围、类别、条件、程序等，并与数据获取方签订数据安全协议。</w:t>
      </w:r>
    </w:p>
    <w:p>
      <w:pPr>
        <w:pStyle w:val="165"/>
      </w:pPr>
      <w:r>
        <w:rPr>
          <w:rFonts w:hint="eastAsia"/>
        </w:rPr>
        <w:t>提供重要数据和核心数据的，宜对数据获取方数据安全保护能力进行评估或核实，采取必要的安全保护措施。</w:t>
      </w:r>
    </w:p>
    <w:p>
      <w:pPr>
        <w:pStyle w:val="105"/>
        <w:spacing w:before="120" w:after="120"/>
      </w:pPr>
      <w:bookmarkStart w:id="145" w:name="_Toc142055953"/>
      <w:bookmarkStart w:id="146" w:name="_Toc142056379"/>
      <w:bookmarkStart w:id="147" w:name="_Toc142054885"/>
      <w:r>
        <w:rPr>
          <w:rFonts w:hint="eastAsia"/>
        </w:rPr>
        <w:t>数据销毁</w:t>
      </w:r>
      <w:bookmarkEnd w:id="145"/>
      <w:bookmarkEnd w:id="146"/>
      <w:bookmarkEnd w:id="147"/>
    </w:p>
    <w:p>
      <w:pPr>
        <w:pStyle w:val="165"/>
      </w:pPr>
      <w:r>
        <w:rPr>
          <w:rFonts w:hint="eastAsia"/>
        </w:rPr>
        <w:t>数据处理者宜建立数据销毁策略和管理制度，明确销毁对象、规则、流程和技术等要求，对销毁活动进行记录和留存。</w:t>
      </w:r>
    </w:p>
    <w:p>
      <w:pPr>
        <w:pStyle w:val="165"/>
      </w:pPr>
      <w:r>
        <w:rPr>
          <w:rFonts w:hint="eastAsia"/>
        </w:rPr>
        <w:t>个人、组织依据法律规定、合同约定等请求销毁的，工业和信息化领域数据处理者宜销毁相应数据。</w:t>
      </w:r>
    </w:p>
    <w:p>
      <w:pPr>
        <w:pStyle w:val="165"/>
      </w:pPr>
      <w:r>
        <w:rPr>
          <w:rFonts w:hint="eastAsia"/>
        </w:rPr>
        <w:t>销毁重要数据和核心数据的，宜及时向行业监管部门更新备案，不得以任何理由、任何方式对销毁数据进行恢复。</w:t>
      </w:r>
    </w:p>
    <w:p>
      <w:pPr>
        <w:pStyle w:val="105"/>
        <w:spacing w:before="120" w:after="120"/>
      </w:pPr>
      <w:bookmarkStart w:id="148" w:name="_Toc142056380"/>
      <w:bookmarkStart w:id="149" w:name="_Toc142054886"/>
      <w:bookmarkStart w:id="150" w:name="_Toc142055954"/>
      <w:r>
        <w:rPr>
          <w:rFonts w:hint="eastAsia"/>
        </w:rPr>
        <w:t>数据出境</w:t>
      </w:r>
      <w:bookmarkEnd w:id="148"/>
      <w:bookmarkEnd w:id="149"/>
      <w:bookmarkEnd w:id="150"/>
    </w:p>
    <w:p>
      <w:pPr>
        <w:pStyle w:val="165"/>
      </w:pPr>
      <w:r>
        <w:rPr>
          <w:rFonts w:hint="eastAsia"/>
        </w:rPr>
        <w:t>数据处理者开展数据出境活动，宜符合相关法律法规的要求。</w:t>
      </w:r>
    </w:p>
    <w:p>
      <w:pPr>
        <w:pStyle w:val="165"/>
      </w:pPr>
      <w:r>
        <w:rPr>
          <w:rFonts w:hint="eastAsia"/>
        </w:rPr>
        <w:t>在中华人民共和国境内收集和产生的重要数据，宜依照法律、行政法规要求在境内存储，确需向境外提供的，宜依法依规进行数据出境安全评估。</w:t>
      </w:r>
    </w:p>
    <w:p>
      <w:pPr>
        <w:pStyle w:val="104"/>
        <w:spacing w:before="240" w:after="240"/>
      </w:pPr>
      <w:bookmarkStart w:id="151" w:name="_Toc142056381"/>
      <w:bookmarkStart w:id="152" w:name="_Toc142054887"/>
      <w:bookmarkStart w:id="153" w:name="_Toc142055955"/>
      <w:r>
        <w:rPr>
          <w:rFonts w:hint="eastAsia"/>
        </w:rPr>
        <w:t>管理措施</w:t>
      </w:r>
      <w:bookmarkEnd w:id="151"/>
      <w:bookmarkEnd w:id="152"/>
      <w:bookmarkEnd w:id="153"/>
    </w:p>
    <w:p>
      <w:pPr>
        <w:pStyle w:val="105"/>
        <w:spacing w:before="120" w:after="120"/>
      </w:pPr>
      <w:bookmarkStart w:id="154" w:name="_Toc142056382"/>
      <w:bookmarkStart w:id="155" w:name="_Toc142055956"/>
      <w:bookmarkStart w:id="156" w:name="_Toc142054888"/>
      <w:r>
        <w:rPr>
          <w:rFonts w:hint="eastAsia"/>
        </w:rPr>
        <w:t>安全制度建设</w:t>
      </w:r>
      <w:bookmarkEnd w:id="154"/>
      <w:bookmarkEnd w:id="155"/>
      <w:bookmarkEnd w:id="156"/>
    </w:p>
    <w:p>
      <w:pPr>
        <w:pStyle w:val="56"/>
        <w:ind w:firstLine="420"/>
      </w:pPr>
      <w:bookmarkStart w:id="157" w:name="_Toc142051723"/>
      <w:bookmarkStart w:id="158" w:name="_Toc142051776"/>
      <w:bookmarkStart w:id="159" w:name="_Toc142051888"/>
      <w:r>
        <w:rPr>
          <w:rFonts w:hint="eastAsia"/>
        </w:rPr>
        <w:t>数据处理者开展数据处理活动宜依照法律、法规的规定，建立数据全生命周期安全管理制度，针对不同级别数据，制定数据收集、存储、使用、加工、传输、提供、公开等环节的具体分级防护要求和操作规程。</w:t>
      </w:r>
    </w:p>
    <w:bookmarkEnd w:id="157"/>
    <w:bookmarkEnd w:id="158"/>
    <w:bookmarkEnd w:id="159"/>
    <w:p>
      <w:pPr>
        <w:pStyle w:val="105"/>
        <w:spacing w:before="120" w:after="120"/>
      </w:pPr>
      <w:bookmarkStart w:id="160" w:name="_Toc142054889"/>
      <w:bookmarkStart w:id="161" w:name="_Toc142055957"/>
      <w:bookmarkStart w:id="162" w:name="_Toc142056383"/>
      <w:r>
        <w:rPr>
          <w:rFonts w:hint="eastAsia"/>
        </w:rPr>
        <w:t>安全同步</w:t>
      </w:r>
      <w:bookmarkEnd w:id="160"/>
      <w:bookmarkEnd w:id="161"/>
      <w:bookmarkEnd w:id="162"/>
    </w:p>
    <w:p>
      <w:pPr>
        <w:pStyle w:val="56"/>
        <w:ind w:firstLine="420"/>
      </w:pPr>
      <w:r>
        <w:rPr>
          <w:rFonts w:hint="eastAsia"/>
        </w:rPr>
        <w:t>数据处理者宜确保数据安全管理和技术保护手段与产品研发、生产运营、业务发展同步规划、同步建设、同步运行。</w:t>
      </w:r>
    </w:p>
    <w:p>
      <w:pPr>
        <w:pStyle w:val="105"/>
        <w:spacing w:before="120" w:after="120"/>
      </w:pPr>
      <w:bookmarkStart w:id="163" w:name="_Toc142054890"/>
      <w:bookmarkStart w:id="164" w:name="_Toc142055958"/>
      <w:bookmarkStart w:id="165" w:name="_Toc142056384"/>
      <w:r>
        <w:rPr>
          <w:rFonts w:hint="eastAsia"/>
        </w:rPr>
        <w:t>权限管理</w:t>
      </w:r>
      <w:bookmarkEnd w:id="163"/>
      <w:bookmarkEnd w:id="164"/>
      <w:bookmarkEnd w:id="165"/>
    </w:p>
    <w:p>
      <w:pPr>
        <w:pStyle w:val="56"/>
        <w:ind w:firstLine="420"/>
      </w:pPr>
      <w:r>
        <w:rPr>
          <w:rFonts w:hint="eastAsia"/>
        </w:rPr>
        <w:t>数据处理者宜制定数据访问权限管理制度，严格实施人员权限管理。宜明确各部门和相关人员权限管理要求，包含但不限于账号权限分配原则、流程等，建立并定期更新企业数据处理活动平台系统权限分配表。满足以下要求：</w:t>
      </w:r>
    </w:p>
    <w:p>
      <w:pPr>
        <w:pStyle w:val="174"/>
        <w:numPr>
          <w:ilvl w:val="0"/>
          <w:numId w:val="36"/>
        </w:numPr>
        <w:rPr>
          <w:lang w:val="en-GB"/>
        </w:rPr>
      </w:pPr>
      <w:r>
        <w:rPr>
          <w:rFonts w:hint="eastAsia"/>
        </w:rPr>
        <w:t>宜建立</w:t>
      </w:r>
      <w:r>
        <w:rPr>
          <w:rFonts w:hint="eastAsia"/>
          <w:lang w:val="en-GB"/>
        </w:rPr>
        <w:t>合理的账号权限开通审批流程，并记录审批流程和结果；</w:t>
      </w:r>
    </w:p>
    <w:p>
      <w:pPr>
        <w:pStyle w:val="174"/>
        <w:rPr>
          <w:lang w:val="en-GB"/>
        </w:rPr>
      </w:pPr>
      <w:r>
        <w:rPr>
          <w:rFonts w:hint="eastAsia"/>
          <w:lang w:val="en-GB"/>
        </w:rPr>
        <w:t>宜按照业务需求和安全策略为用户配置合理的权限，如符合最小授权和角色权限制约等要求。宜严格控制数据处理活动平台系统超级管理员权限账号数量；</w:t>
      </w:r>
    </w:p>
    <w:p>
      <w:pPr>
        <w:pStyle w:val="174"/>
      </w:pPr>
      <w:r>
        <w:rPr>
          <w:rFonts w:hint="eastAsia"/>
          <w:lang w:val="en-GB"/>
        </w:rPr>
        <w:t>对所有接入数据处理活动平台系统的用户或业务进行身份接入认证和权限控制，包括基于</w:t>
      </w:r>
      <w:r>
        <w:rPr>
          <w:lang w:val="en-GB"/>
        </w:rPr>
        <w:t>IP</w:t>
      </w:r>
      <w:r>
        <w:rPr>
          <w:rFonts w:hint="eastAsia"/>
          <w:lang w:val="en-GB"/>
        </w:rPr>
        <w:t>的鉴</w:t>
      </w:r>
      <w:r>
        <w:rPr>
          <w:rFonts w:hint="eastAsia"/>
        </w:rPr>
        <w:t>权和基于账号、口令等的鉴权。</w:t>
      </w:r>
    </w:p>
    <w:p>
      <w:pPr>
        <w:pStyle w:val="105"/>
        <w:spacing w:before="120" w:after="120"/>
      </w:pPr>
      <w:bookmarkStart w:id="166" w:name="_Toc142055959"/>
      <w:bookmarkStart w:id="167" w:name="_Toc142054891"/>
      <w:bookmarkStart w:id="168" w:name="_Toc142056385"/>
      <w:r>
        <w:rPr>
          <w:rFonts w:hint="eastAsia"/>
        </w:rPr>
        <w:t>密码保护</w:t>
      </w:r>
      <w:bookmarkEnd w:id="166"/>
      <w:bookmarkEnd w:id="167"/>
      <w:bookmarkEnd w:id="168"/>
    </w:p>
    <w:p>
      <w:pPr>
        <w:pStyle w:val="56"/>
        <w:ind w:firstLine="420"/>
      </w:pPr>
      <w:r>
        <w:rPr>
          <w:rFonts w:hint="eastAsia"/>
        </w:rPr>
        <w:t>数据处理者宜使用商用密码进行数据保护，可自行或者委托商用密码检测机构每年至少开展一次商用密码应用安全性评。</w:t>
      </w:r>
    </w:p>
    <w:p>
      <w:pPr>
        <w:pStyle w:val="105"/>
        <w:spacing w:before="120" w:after="120"/>
      </w:pPr>
      <w:bookmarkStart w:id="169" w:name="_Toc142054892"/>
      <w:bookmarkStart w:id="170" w:name="_Toc142056386"/>
      <w:bookmarkStart w:id="171" w:name="_Toc142055960"/>
      <w:r>
        <w:rPr>
          <w:rFonts w:hint="eastAsia"/>
        </w:rPr>
        <w:t>日志留存</w:t>
      </w:r>
      <w:bookmarkEnd w:id="169"/>
      <w:bookmarkEnd w:id="170"/>
      <w:bookmarkEnd w:id="171"/>
    </w:p>
    <w:p>
      <w:pPr>
        <w:pStyle w:val="56"/>
        <w:ind w:firstLine="420"/>
      </w:pPr>
      <w:r>
        <w:rPr>
          <w:rFonts w:hint="eastAsia"/>
        </w:rPr>
        <w:t>数据处理者宜对数据授权访问、批量复制、开放共享、销毁，及数据接口调用等重点环节实施日志留存管理。满足以下要求：</w:t>
      </w:r>
    </w:p>
    <w:p>
      <w:pPr>
        <w:pStyle w:val="174"/>
        <w:numPr>
          <w:ilvl w:val="0"/>
          <w:numId w:val="37"/>
        </w:numPr>
        <w:rPr>
          <w:lang w:val="en-GB"/>
        </w:rPr>
      </w:pPr>
      <w:r>
        <w:rPr>
          <w:rFonts w:hint="eastAsia"/>
        </w:rPr>
        <w:t>记录信</w:t>
      </w:r>
      <w:r>
        <w:rPr>
          <w:rFonts w:hint="eastAsia"/>
          <w:lang w:val="en-GB"/>
        </w:rPr>
        <w:t>息宜包括执行时间、操作账号、处理方式、授权情况、登录信息等，并确保组织机构内部数据操作相关日志字段记录规则统一，记录完整、准确、不可修改；</w:t>
      </w:r>
    </w:p>
    <w:p>
      <w:pPr>
        <w:pStyle w:val="174"/>
        <w:rPr>
          <w:lang w:val="en-GB"/>
        </w:rPr>
      </w:pPr>
      <w:r>
        <w:rPr>
          <w:rFonts w:hint="eastAsia"/>
          <w:lang w:val="en-GB"/>
        </w:rPr>
        <w:t>宜定期对日志进行本地备份，防止数据安全事件导致的日志被删除。保存时间宜满足国家相关法律法规要求，不少于6个月；</w:t>
      </w:r>
    </w:p>
    <w:p>
      <w:pPr>
        <w:pStyle w:val="174"/>
      </w:pPr>
      <w:r>
        <w:rPr>
          <w:rFonts w:hint="eastAsia"/>
          <w:lang w:val="en-GB"/>
        </w:rPr>
        <w:t>宜对日志</w:t>
      </w:r>
      <w:r>
        <w:rPr>
          <w:rFonts w:hint="eastAsia"/>
        </w:rPr>
        <w:t>操作进行权限控制，配备日志审计员加强日志访问和处理管理。</w:t>
      </w:r>
    </w:p>
    <w:p>
      <w:pPr>
        <w:pStyle w:val="105"/>
        <w:spacing w:before="120" w:after="120"/>
      </w:pPr>
      <w:bookmarkStart w:id="172" w:name="_Toc142054893"/>
      <w:bookmarkStart w:id="173" w:name="_Toc142056387"/>
      <w:bookmarkStart w:id="174" w:name="_Toc142055961"/>
      <w:r>
        <w:rPr>
          <w:rFonts w:hint="eastAsia"/>
        </w:rPr>
        <w:t>安全审计</w:t>
      </w:r>
      <w:bookmarkEnd w:id="172"/>
      <w:bookmarkEnd w:id="173"/>
      <w:bookmarkEnd w:id="174"/>
    </w:p>
    <w:p>
      <w:pPr>
        <w:pStyle w:val="165"/>
      </w:pPr>
      <w:r>
        <w:rPr>
          <w:rFonts w:hint="eastAsia"/>
        </w:rPr>
        <w:t>数据处理者宜建立数据安全审计制度，明确数据安全审计工作牵头部门和相关执行部门，审计目的、审计对象、审计内容（异常操作的定义）、审计操作规程、审计频度、审计结果规范、审计问题整改跟踪等内容。审计对象宜完整覆盖企业相关数据处理活动涉及的平台系统。</w:t>
      </w:r>
    </w:p>
    <w:p>
      <w:pPr>
        <w:pStyle w:val="165"/>
      </w:pPr>
      <w:r>
        <w:rPr>
          <w:rFonts w:hint="eastAsia"/>
        </w:rPr>
        <w:t>数据处理者宜定期进行安全审计，并形成审计报告，涉及重要数据和核心数据的，宜至少每半年进行一次。</w:t>
      </w:r>
    </w:p>
    <w:p>
      <w:pPr>
        <w:pStyle w:val="165"/>
      </w:pPr>
      <w:r>
        <w:rPr>
          <w:rFonts w:hint="eastAsia"/>
        </w:rPr>
        <w:t>数据安全审计的内容宜包括企业内部权限控制、企业内部数据流向跟踪情况、数据安全保障措施有效性等，能够发现和处置数据非授权访问、批量导出等异常情况。</w:t>
      </w:r>
    </w:p>
    <w:p>
      <w:pPr>
        <w:pStyle w:val="105"/>
        <w:spacing w:before="120" w:after="120"/>
      </w:pPr>
      <w:bookmarkStart w:id="175" w:name="_Toc142055962"/>
      <w:bookmarkStart w:id="176" w:name="_Toc142054894"/>
      <w:bookmarkStart w:id="177" w:name="_Toc142056388"/>
      <w:r>
        <w:rPr>
          <w:rFonts w:hint="eastAsia"/>
        </w:rPr>
        <w:t>信息上级</w:t>
      </w:r>
      <w:bookmarkEnd w:id="175"/>
      <w:bookmarkEnd w:id="176"/>
      <w:bookmarkEnd w:id="177"/>
    </w:p>
    <w:p>
      <w:pPr>
        <w:pStyle w:val="56"/>
        <w:ind w:firstLine="420"/>
      </w:pPr>
      <w:r>
        <w:rPr>
          <w:rFonts w:hint="eastAsia"/>
        </w:rPr>
        <w:t>数据处理者宜制定数据安全事件信息上报机制，发生数据安全事件的，及时将自身数据安全风险情况向行业监管部门、网信部门报告。</w:t>
      </w:r>
    </w:p>
    <w:p>
      <w:pPr>
        <w:pStyle w:val="105"/>
        <w:spacing w:before="120" w:after="120"/>
      </w:pPr>
      <w:bookmarkStart w:id="178" w:name="_Toc142056389"/>
      <w:bookmarkStart w:id="179" w:name="_Toc142054895"/>
      <w:bookmarkStart w:id="180" w:name="_Toc142055963"/>
      <w:r>
        <w:rPr>
          <w:rFonts w:hint="eastAsia"/>
        </w:rPr>
        <w:t>应急管理</w:t>
      </w:r>
      <w:bookmarkEnd w:id="178"/>
      <w:bookmarkEnd w:id="179"/>
      <w:bookmarkEnd w:id="180"/>
    </w:p>
    <w:p>
      <w:pPr>
        <w:pStyle w:val="165"/>
      </w:pPr>
      <w:r>
        <w:rPr>
          <w:rFonts w:hint="eastAsia"/>
        </w:rPr>
        <w:t>数据处理者宜制定数据安全事件应急响应预案，充分考虑企业涉及的各类数据安全事件业务场景，包括但不限于数据泄露（丢失）、数据滥用、数据被篡改、数据被损毁、数据违规使用等。</w:t>
      </w:r>
    </w:p>
    <w:p>
      <w:pPr>
        <w:pStyle w:val="165"/>
      </w:pPr>
      <w:r>
        <w:rPr>
          <w:rFonts w:hint="eastAsia"/>
        </w:rPr>
        <w:t>宜结合数据安全事件业务场景和等级明确应急响应工作责任分工、实施环节、应急响应措施。实施环节至少包括事件监测、定位、分级、启动、响应处置、报告、事件评估、结束响应、应急总结、情况跟踪等阶段。</w:t>
      </w:r>
    </w:p>
    <w:p>
      <w:pPr>
        <w:pStyle w:val="165"/>
      </w:pPr>
      <w:r>
        <w:rPr>
          <w:rFonts w:hint="eastAsia"/>
        </w:rPr>
        <w:t>数据处理者宜根据数据安全事件应急响应预案制定演练计划并定期组织演练，保存演练记录。每类数据安全事件场景至少一年开展一次演练。数据处理者宜针对应急演练发现的突出问题和漏洞隐患，及时整改加固，完善保护措施。</w:t>
      </w:r>
    </w:p>
    <w:p>
      <w:pPr>
        <w:pStyle w:val="165"/>
      </w:pPr>
      <w:r>
        <w:rPr>
          <w:rFonts w:hint="eastAsia"/>
        </w:rPr>
        <w:t>数据处理者在数据安全事件发生后，宜按照应急预案，及时开展应急处置。</w:t>
      </w:r>
    </w:p>
    <w:p>
      <w:pPr>
        <w:pStyle w:val="105"/>
        <w:spacing w:before="120" w:after="120"/>
      </w:pPr>
      <w:bookmarkStart w:id="181" w:name="_Toc142055964"/>
      <w:bookmarkStart w:id="182" w:name="_Toc142056390"/>
      <w:bookmarkStart w:id="183" w:name="_Toc142054896"/>
      <w:r>
        <w:rPr>
          <w:rFonts w:hint="eastAsia"/>
        </w:rPr>
        <w:t>教育培训</w:t>
      </w:r>
      <w:bookmarkEnd w:id="181"/>
      <w:bookmarkEnd w:id="182"/>
      <w:bookmarkEnd w:id="183"/>
    </w:p>
    <w:p>
      <w:pPr>
        <w:pStyle w:val="56"/>
        <w:ind w:firstLine="420"/>
      </w:pPr>
      <w:r>
        <w:rPr>
          <w:rFonts w:hint="eastAsia"/>
        </w:rPr>
        <w:t>数据处理者宜建立数据安全合规教育培训制度，针对数据安全合规管理相关岗位制定相应培训计划，并对培训计划定期审核和更新。需满足以下要求：</w:t>
      </w:r>
    </w:p>
    <w:p>
      <w:pPr>
        <w:pStyle w:val="174"/>
        <w:numPr>
          <w:ilvl w:val="0"/>
          <w:numId w:val="38"/>
        </w:numPr>
      </w:pPr>
      <w:r>
        <w:rPr>
          <w:rFonts w:hint="eastAsia"/>
        </w:rPr>
        <w:t>每年宜至少开展一次数据安全合规管理培训；</w:t>
      </w:r>
    </w:p>
    <w:p>
      <w:pPr>
        <w:pStyle w:val="174"/>
      </w:pPr>
      <w:r>
        <w:rPr>
          <w:rFonts w:hint="eastAsia"/>
        </w:rPr>
        <w:t>培训人员宜覆盖企业数据安全岗位人员名单全体人员；</w:t>
      </w:r>
    </w:p>
    <w:p>
      <w:pPr>
        <w:pStyle w:val="174"/>
      </w:pPr>
      <w:r>
        <w:rPr>
          <w:rFonts w:hint="eastAsia"/>
        </w:rPr>
        <w:t>数据安全培训内容宜完整覆盖数据安全制度要求和实操规范等内容，如数据安全法律法规、刑事违法案例、标准制度、管理方法、合规性评估、技术防护、应急演练和相关知识技能；</w:t>
      </w:r>
    </w:p>
    <w:p>
      <w:pPr>
        <w:pStyle w:val="174"/>
      </w:pPr>
      <w:r>
        <w:rPr>
          <w:rFonts w:hint="eastAsia"/>
        </w:rPr>
        <w:t>培训结束后，宜对培训效果进行评定、记录和归档。</w:t>
      </w:r>
    </w:p>
    <w:p>
      <w:pPr>
        <w:pStyle w:val="105"/>
        <w:spacing w:before="120" w:after="120"/>
      </w:pPr>
      <w:bookmarkStart w:id="184" w:name="_Toc142054897"/>
      <w:bookmarkStart w:id="185" w:name="_Toc142056391"/>
      <w:bookmarkStart w:id="186" w:name="_Toc142055965"/>
      <w:r>
        <w:rPr>
          <w:rFonts w:hint="eastAsia"/>
        </w:rPr>
        <w:t>安全评估</w:t>
      </w:r>
      <w:bookmarkEnd w:id="184"/>
      <w:bookmarkEnd w:id="185"/>
      <w:bookmarkEnd w:id="186"/>
    </w:p>
    <w:p>
      <w:pPr>
        <w:pStyle w:val="56"/>
        <w:ind w:firstLine="420"/>
      </w:pPr>
      <w:r>
        <w:rPr>
          <w:rFonts w:hint="eastAsia"/>
        </w:rPr>
        <w:t>数据处理者宜制定数据安全评估制度，依据数据安全评估规范，开展数据安全评估及整改。</w:t>
      </w:r>
    </w:p>
    <w:p>
      <w:pPr>
        <w:pStyle w:val="105"/>
        <w:spacing w:before="120" w:after="120"/>
      </w:pPr>
      <w:bookmarkStart w:id="187" w:name="_Toc142054898"/>
      <w:bookmarkStart w:id="188" w:name="_Toc142055966"/>
      <w:bookmarkStart w:id="189" w:name="_Toc142056392"/>
      <w:r>
        <w:rPr>
          <w:rFonts w:hint="eastAsia"/>
        </w:rPr>
        <w:t>合作方管理</w:t>
      </w:r>
      <w:bookmarkEnd w:id="187"/>
      <w:bookmarkEnd w:id="188"/>
      <w:bookmarkEnd w:id="189"/>
    </w:p>
    <w:p>
      <w:pPr>
        <w:pStyle w:val="56"/>
        <w:ind w:firstLine="420"/>
      </w:pPr>
      <w:r>
        <w:rPr>
          <w:rFonts w:hint="eastAsia"/>
        </w:rPr>
        <w:t>数据处理者宜建立合作方数据安全管理制度，加强保密管理，明确不同合作类型的数据安全保护方式和责任落实要求，并对义务与责任履行情况进行监督。</w:t>
      </w:r>
    </w:p>
    <w:p>
      <w:pPr>
        <w:pStyle w:val="104"/>
        <w:spacing w:before="240" w:after="240"/>
      </w:pPr>
      <w:bookmarkStart w:id="190" w:name="_Toc142056393"/>
      <w:bookmarkStart w:id="191" w:name="_Toc142055967"/>
      <w:bookmarkStart w:id="192" w:name="_Toc142054899"/>
      <w:r>
        <w:rPr>
          <w:rFonts w:hint="eastAsia"/>
        </w:rPr>
        <w:t>评价与改进</w:t>
      </w:r>
      <w:bookmarkEnd w:id="190"/>
      <w:bookmarkEnd w:id="191"/>
      <w:bookmarkEnd w:id="192"/>
    </w:p>
    <w:p>
      <w:pPr>
        <w:pStyle w:val="105"/>
        <w:spacing w:before="120" w:after="120"/>
      </w:pPr>
      <w:bookmarkStart w:id="193" w:name="_Toc142056394"/>
      <w:bookmarkStart w:id="194" w:name="_Toc142054900"/>
      <w:bookmarkStart w:id="195" w:name="_Toc142055968"/>
      <w:r>
        <w:rPr>
          <w:rFonts w:hint="eastAsia"/>
        </w:rPr>
        <w:t>自评</w:t>
      </w:r>
      <w:bookmarkEnd w:id="193"/>
      <w:bookmarkEnd w:id="194"/>
      <w:bookmarkEnd w:id="195"/>
    </w:p>
    <w:p>
      <w:pPr>
        <w:pStyle w:val="56"/>
        <w:ind w:firstLine="420"/>
      </w:pPr>
      <w:r>
        <w:rPr>
          <w:rFonts w:hint="eastAsia"/>
        </w:rPr>
        <w:t>航运企业宜建立数据合规定期自评估体系，定期审核评估数据安全和算法合规的落地实施，定期评估工作应由数据合规管理机构负责牵头实施。自评估内容主要包括对数据安全合规体系的设计评估、执行评估及质效评估，以确保数据安全合规目标的实现。</w:t>
      </w:r>
    </w:p>
    <w:p>
      <w:pPr>
        <w:pStyle w:val="105"/>
        <w:spacing w:before="120" w:after="120"/>
      </w:pPr>
      <w:bookmarkStart w:id="196" w:name="_Toc142055969"/>
      <w:bookmarkStart w:id="197" w:name="_Toc142056395"/>
      <w:bookmarkStart w:id="198" w:name="_Toc142054901"/>
      <w:r>
        <w:rPr>
          <w:rFonts w:hint="eastAsia"/>
        </w:rPr>
        <w:t>设计评估</w:t>
      </w:r>
      <w:bookmarkEnd w:id="196"/>
      <w:bookmarkEnd w:id="197"/>
      <w:bookmarkEnd w:id="198"/>
    </w:p>
    <w:p>
      <w:pPr>
        <w:pStyle w:val="56"/>
        <w:ind w:firstLine="420"/>
      </w:pPr>
      <w:bookmarkStart w:id="199" w:name="_Toc142051894"/>
      <w:bookmarkStart w:id="200" w:name="_Toc142051729"/>
      <w:bookmarkStart w:id="201" w:name="_Toc142051782"/>
      <w:r>
        <w:rPr>
          <w:rFonts w:hint="eastAsia"/>
        </w:rPr>
        <w:t>数据安全合规体系设计的有效性评估和审查标准主要有：</w:t>
      </w:r>
    </w:p>
    <w:p>
      <w:pPr>
        <w:pStyle w:val="174"/>
        <w:numPr>
          <w:ilvl w:val="0"/>
          <w:numId w:val="39"/>
        </w:numPr>
      </w:pPr>
      <w:r>
        <w:rPr>
          <w:rFonts w:hint="eastAsia"/>
        </w:rPr>
        <w:t>数据安全合规风险的识别和评估：</w:t>
      </w:r>
    </w:p>
    <w:p>
      <w:pPr>
        <w:pStyle w:val="109"/>
      </w:pPr>
      <w:r>
        <w:rPr>
          <w:rFonts w:hint="eastAsia"/>
        </w:rPr>
        <w:t>是否定期组织数据安全管理机构对可能面临的数据安全合规风险进行全面评估，重点识别机器学习算法在数据收集、存储、使用、加工、传输、提供、公开、删除等数据全生命周期的风险；</w:t>
      </w:r>
    </w:p>
    <w:p>
      <w:pPr>
        <w:pStyle w:val="109"/>
      </w:pPr>
      <w:r>
        <w:rPr>
          <w:rFonts w:hint="eastAsia"/>
        </w:rPr>
        <w:t>是否根据风险识别和评估规范确定的合规管理重点问题，发现可能面临的数据安全合规风险，配置相匹配的风险控制和处理能力；</w:t>
      </w:r>
    </w:p>
    <w:p>
      <w:pPr>
        <w:pStyle w:val="109"/>
      </w:pPr>
      <w:r>
        <w:rPr>
          <w:rFonts w:hint="eastAsia"/>
        </w:rPr>
        <w:t>是否定期更新风险识别监测预警机制及安全评估制度，及时识别和评估原有风险的新变化及新产生的风险。</w:t>
      </w:r>
    </w:p>
    <w:p>
      <w:pPr>
        <w:pStyle w:val="174"/>
      </w:pPr>
      <w:r>
        <w:rPr>
          <w:rFonts w:hint="eastAsia"/>
        </w:rPr>
        <w:t>政策和程序安排：</w:t>
      </w:r>
    </w:p>
    <w:p>
      <w:pPr>
        <w:pStyle w:val="109"/>
      </w:pPr>
      <w:r>
        <w:rPr>
          <w:rFonts w:hint="eastAsia"/>
        </w:rPr>
        <w:t>是否根据数据处理者的合规风险、业务范围、规模等，制定数据安全合规管理相关制度，对各个环节进行规范化管理；</w:t>
      </w:r>
    </w:p>
    <w:p>
      <w:pPr>
        <w:pStyle w:val="109"/>
      </w:pPr>
      <w:r>
        <w:rPr>
          <w:rFonts w:hint="eastAsia"/>
        </w:rPr>
        <w:t>是否明确相关制度的执行标准，明确责任主体和责任内容；</w:t>
      </w:r>
    </w:p>
    <w:p>
      <w:pPr>
        <w:pStyle w:val="109"/>
      </w:pPr>
      <w:r>
        <w:rPr>
          <w:rFonts w:hint="eastAsia"/>
        </w:rPr>
        <w:t>是否针对数据全生命周期各环节建立数据安全合规管理机制，防控可能产生的风险。</w:t>
      </w:r>
    </w:p>
    <w:p>
      <w:pPr>
        <w:pStyle w:val="174"/>
      </w:pPr>
      <w:r>
        <w:rPr>
          <w:rFonts w:hint="eastAsia"/>
        </w:rPr>
        <w:t>培训和沟通安排：</w:t>
      </w:r>
    </w:p>
    <w:p>
      <w:pPr>
        <w:pStyle w:val="109"/>
      </w:pPr>
      <w:r>
        <w:rPr>
          <w:rFonts w:hint="eastAsia"/>
        </w:rPr>
        <w:t>是否建立合规培训制度，定期组织开展有针对性的数据安全合规学习培训，确保员工充分认识到数据安全合规重要性，通过培训提升各层级的数据安全合规意识；</w:t>
      </w:r>
    </w:p>
    <w:p>
      <w:pPr>
        <w:pStyle w:val="109"/>
      </w:pPr>
      <w:r>
        <w:rPr>
          <w:rFonts w:hint="eastAsia"/>
        </w:rPr>
        <w:t>是否建立数据安全合规管理的内部及外部沟通渠道，并将数据安全合规文化、合规目标及合规业务纳入沟通内容，确保及时收集和反馈相关信息。</w:t>
      </w:r>
    </w:p>
    <w:p>
      <w:pPr>
        <w:pStyle w:val="174"/>
      </w:pPr>
      <w:r>
        <w:rPr>
          <w:rFonts w:hint="eastAsia"/>
        </w:rPr>
        <w:t>举报和调查机制：</w:t>
      </w:r>
    </w:p>
    <w:p>
      <w:pPr>
        <w:pStyle w:val="109"/>
      </w:pPr>
      <w:r>
        <w:rPr>
          <w:rFonts w:hint="eastAsia"/>
        </w:rPr>
        <w:t>是否建立数据安全合规举报及调查管理办法，是否对重点风险岗位人员建立专门检查制度；</w:t>
      </w:r>
    </w:p>
    <w:p>
      <w:pPr>
        <w:pStyle w:val="109"/>
      </w:pPr>
      <w:r>
        <w:rPr>
          <w:rFonts w:hint="eastAsia"/>
        </w:rPr>
        <w:t>是否以公开方式设置举报途径，是否确保所有人员了解举报程序并能够流畅使用相关举报程序；</w:t>
      </w:r>
    </w:p>
    <w:p>
      <w:pPr>
        <w:pStyle w:val="109"/>
      </w:pPr>
      <w:r>
        <w:rPr>
          <w:rFonts w:hint="eastAsia"/>
        </w:rPr>
        <w:t>是否建立不合规调查程序，确保及时、彻底地调查不合规行为及其原因。</w:t>
      </w:r>
    </w:p>
    <w:p>
      <w:pPr>
        <w:pStyle w:val="174"/>
      </w:pPr>
      <w:r>
        <w:rPr>
          <w:rFonts w:hint="eastAsia"/>
        </w:rPr>
        <w:t>执行和保障机构：</w:t>
      </w:r>
    </w:p>
    <w:p>
      <w:pPr>
        <w:pStyle w:val="109"/>
      </w:pPr>
      <w:r>
        <w:rPr>
          <w:rFonts w:hint="eastAsia"/>
        </w:rPr>
        <w:t>是否设立数据安全合规管理部门及合规人员，作为企业合规管理牵头部门，组织、协调和监督管理工作；</w:t>
      </w:r>
    </w:p>
    <w:p>
      <w:pPr>
        <w:pStyle w:val="109"/>
      </w:pPr>
      <w:r>
        <w:rPr>
          <w:rFonts w:hint="eastAsia"/>
        </w:rPr>
        <w:t>是否明确审计、监察、内控、质量、安全及各业务部门在各自职权范围内配合落实数据安全合规管理的日常工作；</w:t>
      </w:r>
    </w:p>
    <w:p>
      <w:pPr>
        <w:pStyle w:val="109"/>
      </w:pPr>
      <w:r>
        <w:rPr>
          <w:rFonts w:hint="eastAsia"/>
        </w:rPr>
        <w:t>是否在确定数据安全合规相关人员时，要求具备相应的专业资质、良好的业务素质及职业操守。</w:t>
      </w:r>
    </w:p>
    <w:p>
      <w:pPr>
        <w:pStyle w:val="174"/>
      </w:pPr>
      <w:r>
        <w:rPr>
          <w:rFonts w:hint="eastAsia"/>
        </w:rPr>
        <w:t>第三方监督机制：</w:t>
      </w:r>
    </w:p>
    <w:p>
      <w:pPr>
        <w:pStyle w:val="109"/>
      </w:pPr>
      <w:r>
        <w:rPr>
          <w:rFonts w:hint="eastAsia"/>
        </w:rPr>
        <w:t>是否定期对数据安全合规体系进行合规监督并形成合规评估报告，重点评价数据安全合规体系运行的有效性，以确保数据安全合规目标的实现；</w:t>
      </w:r>
    </w:p>
    <w:p>
      <w:pPr>
        <w:pStyle w:val="109"/>
      </w:pPr>
      <w:r>
        <w:rPr>
          <w:rFonts w:hint="eastAsia"/>
        </w:rPr>
        <w:t>是否在必要时聘请第三方机构，对企业数据安全合规体系及合规风险管理有效性进行评估，并出具评估报告。</w:t>
      </w:r>
    </w:p>
    <w:bookmarkEnd w:id="199"/>
    <w:bookmarkEnd w:id="200"/>
    <w:bookmarkEnd w:id="201"/>
    <w:p>
      <w:pPr>
        <w:pStyle w:val="105"/>
        <w:spacing w:before="120" w:after="120"/>
      </w:pPr>
      <w:bookmarkStart w:id="202" w:name="_Toc142054902"/>
      <w:bookmarkStart w:id="203" w:name="_Toc142056396"/>
      <w:bookmarkStart w:id="204" w:name="_Toc142055970"/>
      <w:r>
        <w:rPr>
          <w:rFonts w:hint="eastAsia"/>
        </w:rPr>
        <w:t>执行评估</w:t>
      </w:r>
      <w:bookmarkEnd w:id="202"/>
      <w:bookmarkEnd w:id="203"/>
      <w:bookmarkEnd w:id="204"/>
    </w:p>
    <w:p>
      <w:pPr>
        <w:pStyle w:val="56"/>
        <w:ind w:firstLine="420"/>
      </w:pPr>
      <w:r>
        <w:rPr>
          <w:rFonts w:hint="eastAsia"/>
        </w:rPr>
        <w:t>合规管理体系执行的有效性评估和审查标准主要有：</w:t>
      </w:r>
    </w:p>
    <w:p>
      <w:pPr>
        <w:pStyle w:val="174"/>
        <w:numPr>
          <w:ilvl w:val="0"/>
          <w:numId w:val="40"/>
        </w:numPr>
      </w:pPr>
      <w:r>
        <w:rPr>
          <w:rFonts w:hint="eastAsia"/>
        </w:rPr>
        <w:t>资源配置：</w:t>
      </w:r>
    </w:p>
    <w:p>
      <w:pPr>
        <w:pStyle w:val="109"/>
      </w:pPr>
      <w:r>
        <w:rPr>
          <w:rFonts w:hint="eastAsia"/>
        </w:rPr>
        <w:t>数据处理者是否为数据安全合规管理配套相关基础设施，将遵守数据安全合规制度及要求作为人员的雇佣条件，配置相应人员；</w:t>
      </w:r>
    </w:p>
    <w:p>
      <w:pPr>
        <w:pStyle w:val="109"/>
      </w:pPr>
      <w:r>
        <w:rPr>
          <w:rFonts w:hint="eastAsia"/>
        </w:rPr>
        <w:t>是否设立数据安全经常性预算科目，包括用于数据安全培训、管理体系运行、维护及更新等费用，保障数据安全合规管理工作正常进行。</w:t>
      </w:r>
    </w:p>
    <w:p>
      <w:pPr>
        <w:pStyle w:val="174"/>
      </w:pPr>
      <w:r>
        <w:rPr>
          <w:rFonts w:hint="eastAsia"/>
        </w:rPr>
        <w:t>职责权限：</w:t>
      </w:r>
    </w:p>
    <w:p>
      <w:pPr>
        <w:pStyle w:val="109"/>
      </w:pPr>
      <w:r>
        <w:rPr>
          <w:rFonts w:hint="eastAsia"/>
        </w:rPr>
        <w:t>是否明确数据安全管理机构、数据安全合规管理责任人等相关部门和人员的岗位职责；</w:t>
      </w:r>
    </w:p>
    <w:p>
      <w:pPr>
        <w:pStyle w:val="109"/>
      </w:pPr>
      <w:r>
        <w:rPr>
          <w:rFonts w:hint="eastAsia"/>
        </w:rPr>
        <w:t>是否明确法定代表人、主要负责人及领导团队中分管数据安全的成员等应当履行的必要合规管理职责；</w:t>
      </w:r>
    </w:p>
    <w:p>
      <w:pPr>
        <w:pStyle w:val="109"/>
      </w:pPr>
      <w:r>
        <w:rPr>
          <w:rFonts w:hint="eastAsia"/>
        </w:rPr>
        <w:t>是否明确各部门配合落实数据安全合规管理的日常工作的职责及沟通程序。</w:t>
      </w:r>
    </w:p>
    <w:p>
      <w:pPr>
        <w:pStyle w:val="174"/>
      </w:pPr>
      <w:r>
        <w:rPr>
          <w:rFonts w:hint="eastAsia"/>
        </w:rPr>
        <w:t>合规意识：</w:t>
      </w:r>
    </w:p>
    <w:p>
      <w:pPr>
        <w:pStyle w:val="109"/>
      </w:pPr>
      <w:r>
        <w:rPr>
          <w:rFonts w:hint="eastAsia"/>
        </w:rPr>
        <w:t>管理层及责任人员是否具有数据安全合规意识，是否熟悉数据安全领域的法律法规，是否将数据安全合规工作列入公司管理、考核重点专项工作；</w:t>
      </w:r>
    </w:p>
    <w:p>
      <w:pPr>
        <w:pStyle w:val="109"/>
      </w:pPr>
      <w:r>
        <w:rPr>
          <w:rFonts w:hint="eastAsia"/>
        </w:rPr>
        <w:t>员工是否具备数据安全合规基本意识，是否了解并遵守数据安全合规制度及要求。</w:t>
      </w:r>
    </w:p>
    <w:p>
      <w:pPr>
        <w:pStyle w:val="174"/>
      </w:pPr>
      <w:r>
        <w:rPr>
          <w:rFonts w:hint="eastAsia"/>
        </w:rPr>
        <w:t>合规管理能力：</w:t>
      </w:r>
    </w:p>
    <w:p>
      <w:pPr>
        <w:pStyle w:val="109"/>
      </w:pPr>
      <w:r>
        <w:rPr>
          <w:rFonts w:hint="eastAsia"/>
        </w:rPr>
        <w:t>数据安全合规管理相关制度是否能够有效运行，数据安全合规重点环节的合规管理运行机制根是否运行流畅；</w:t>
      </w:r>
    </w:p>
    <w:p>
      <w:pPr>
        <w:pStyle w:val="109"/>
      </w:pPr>
      <w:r>
        <w:rPr>
          <w:rFonts w:hint="eastAsia"/>
        </w:rPr>
        <w:t>是否统筹衔接法律风险防范、审计监察、内控及风险管理等工作，确保数据安全合规管理闭环；</w:t>
      </w:r>
    </w:p>
    <w:p>
      <w:pPr>
        <w:pStyle w:val="109"/>
      </w:pPr>
      <w:r>
        <w:rPr>
          <w:rFonts w:hint="eastAsia"/>
        </w:rPr>
        <w:t>是否加强对第三方合作企业的数据安全合规风险监督管理，明确不同合作类型的数据安全保护方式和责任落实要求，包括评估合作方数据安全保护能力、定期组织合作方动态合规性评估等。</w:t>
      </w:r>
    </w:p>
    <w:p>
      <w:pPr>
        <w:pStyle w:val="174"/>
      </w:pPr>
      <w:r>
        <w:rPr>
          <w:rFonts w:hint="eastAsia"/>
        </w:rPr>
        <w:t>奖惩机制：</w:t>
      </w:r>
    </w:p>
    <w:p>
      <w:pPr>
        <w:pStyle w:val="109"/>
      </w:pPr>
      <w:r>
        <w:rPr>
          <w:rFonts w:hint="eastAsia"/>
        </w:rPr>
        <w:t>是否建立科学的数据安全合规绩效考评指标，围绕合规风险特征相关指标对员工进行考核；</w:t>
      </w:r>
    </w:p>
    <w:p>
      <w:pPr>
        <w:pStyle w:val="109"/>
      </w:pPr>
      <w:r>
        <w:rPr>
          <w:rFonts w:hint="eastAsia"/>
        </w:rPr>
        <w:t>是否建立并实施相关激励流程，调动员工数据安全合规管理的积极性；</w:t>
      </w:r>
    </w:p>
    <w:p>
      <w:pPr>
        <w:pStyle w:val="109"/>
      </w:pPr>
      <w:r>
        <w:rPr>
          <w:rFonts w:hint="eastAsia"/>
        </w:rPr>
        <w:t>是否对违反数据安全合规义务、目标、制度和要求的相关人员进行必要的处分。</w:t>
      </w:r>
    </w:p>
    <w:p>
      <w:pPr>
        <w:pStyle w:val="174"/>
      </w:pPr>
      <w:r>
        <w:rPr>
          <w:rFonts w:hint="eastAsia"/>
        </w:rPr>
        <w:t>文件化信息管理：是否将数据安全合规管理过程中的各项要素创建为文件化信息，并有效维护和及时更新。</w:t>
      </w:r>
    </w:p>
    <w:p>
      <w:pPr>
        <w:pStyle w:val="105"/>
        <w:spacing w:before="120" w:after="120"/>
      </w:pPr>
      <w:bookmarkStart w:id="205" w:name="_Toc142054903"/>
      <w:bookmarkStart w:id="206" w:name="_Toc142055971"/>
      <w:bookmarkStart w:id="207" w:name="_Toc142056397"/>
      <w:r>
        <w:rPr>
          <w:rFonts w:hint="eastAsia"/>
        </w:rPr>
        <w:t>质效评估</w:t>
      </w:r>
      <w:bookmarkEnd w:id="205"/>
      <w:bookmarkEnd w:id="206"/>
      <w:bookmarkEnd w:id="207"/>
    </w:p>
    <w:p>
      <w:pPr>
        <w:pStyle w:val="56"/>
        <w:ind w:firstLine="420"/>
      </w:pPr>
      <w:r>
        <w:rPr>
          <w:rFonts w:hint="eastAsia"/>
        </w:rPr>
        <w:t>合规管理体系效果的有效性评估和审查标准主要有：</w:t>
      </w:r>
    </w:p>
    <w:p>
      <w:pPr>
        <w:pStyle w:val="174"/>
        <w:numPr>
          <w:ilvl w:val="0"/>
          <w:numId w:val="41"/>
        </w:numPr>
      </w:pPr>
      <w:r>
        <w:rPr>
          <w:rFonts w:hint="eastAsia"/>
        </w:rPr>
        <w:t>合规文化：</w:t>
      </w:r>
    </w:p>
    <w:p>
      <w:pPr>
        <w:pStyle w:val="109"/>
      </w:pPr>
      <w:r>
        <w:rPr>
          <w:rFonts w:hint="eastAsia"/>
        </w:rPr>
        <w:t>是否将经营活动各环节相关的数据安全合规管理要求通过流程、制度、合同以及培训、会议等沟通方式向企业员工进行宣传、推广，将数据安全合规管理理念及企业合规价值观根植于经营活动中，营造数据安全合规文化；</w:t>
      </w:r>
    </w:p>
    <w:p>
      <w:pPr>
        <w:pStyle w:val="109"/>
      </w:pPr>
      <w:r>
        <w:rPr>
          <w:rFonts w:hint="eastAsia"/>
        </w:rPr>
        <w:t>是否构建有利于调动员工积极性的激励机制，树立尊重和保护数据安全的企业形象。</w:t>
      </w:r>
    </w:p>
    <w:p>
      <w:pPr>
        <w:pStyle w:val="174"/>
      </w:pPr>
      <w:r>
        <w:rPr>
          <w:rFonts w:hint="eastAsia"/>
        </w:rPr>
        <w:t>合规目标：</w:t>
      </w:r>
    </w:p>
    <w:p>
      <w:pPr>
        <w:pStyle w:val="109"/>
      </w:pPr>
      <w:r>
        <w:rPr>
          <w:rFonts w:hint="eastAsia"/>
        </w:rPr>
        <w:t>企业所有的经营活动是否满足合规目标、符合合规要求；</w:t>
      </w:r>
    </w:p>
    <w:p>
      <w:pPr>
        <w:pStyle w:val="109"/>
      </w:pPr>
      <w:r>
        <w:rPr>
          <w:rFonts w:hint="eastAsia"/>
        </w:rPr>
        <w:t>实现企业合规目标的资源配置是否完善，是否有明确的时间安排及细化流程；</w:t>
      </w:r>
    </w:p>
    <w:p>
      <w:pPr>
        <w:pStyle w:val="109"/>
      </w:pPr>
      <w:r>
        <w:rPr>
          <w:rFonts w:hint="eastAsia"/>
        </w:rPr>
        <w:t>是否定期监督、检查、记录、评估数据安全合规目标的进度并进行及时更新调整。</w:t>
      </w:r>
    </w:p>
    <w:p>
      <w:pPr>
        <w:pStyle w:val="174"/>
      </w:pPr>
      <w:r>
        <w:rPr>
          <w:rFonts w:hint="eastAsia"/>
        </w:rPr>
        <w:t>可持续发展能力：</w:t>
      </w:r>
    </w:p>
    <w:p>
      <w:pPr>
        <w:pStyle w:val="109"/>
      </w:pPr>
      <w:r>
        <w:rPr>
          <w:rFonts w:hint="eastAsia"/>
        </w:rPr>
        <w:t>是否根据数据安全相关法律规范的调整，及时调整企业的数据安全合规管理体系，确保其保持最新状态，适应数据安全合规目标；</w:t>
      </w:r>
    </w:p>
    <w:p>
      <w:pPr>
        <w:pStyle w:val="109"/>
      </w:pPr>
      <w:r>
        <w:rPr>
          <w:rFonts w:hint="eastAsia"/>
        </w:rPr>
        <w:t>是否定期开展数据安全合规内部监察，针对发现的合规风险，及时提出具体解决方案并积极落实整改。</w:t>
      </w:r>
    </w:p>
    <w:p>
      <w:pPr>
        <w:pStyle w:val="174"/>
      </w:pPr>
      <w:r>
        <w:rPr>
          <w:rFonts w:hint="eastAsia"/>
        </w:rPr>
        <w:t>违规事件及其处理：</w:t>
      </w:r>
    </w:p>
    <w:p>
      <w:pPr>
        <w:pStyle w:val="109"/>
      </w:pPr>
      <w:r>
        <w:rPr>
          <w:rFonts w:hint="eastAsia"/>
        </w:rPr>
        <w:t>发现违规事件时，数据处理者是否及时采取措施控制并纠正，分析违规事件产生的原因；</w:t>
      </w:r>
    </w:p>
    <w:p>
      <w:pPr>
        <w:pStyle w:val="109"/>
      </w:pPr>
      <w:r>
        <w:rPr>
          <w:rFonts w:hint="eastAsia"/>
        </w:rPr>
        <w:t>是否针对违规事件反映的管理问题及时进行改进和弥补管理漏洞，包括改进业务流程、重新培训员工、加强预警机制等；</w:t>
      </w:r>
    </w:p>
    <w:p>
      <w:pPr>
        <w:pStyle w:val="109"/>
      </w:pPr>
      <w:r>
        <w:rPr>
          <w:rFonts w:hint="eastAsia"/>
        </w:rPr>
        <w:t>是否向内部和外部通报违规事件相关情况，保留文件化信息。</w:t>
      </w:r>
    </w:p>
    <w:p>
      <w:pPr>
        <w:pStyle w:val="56"/>
        <w:ind w:firstLine="420"/>
      </w:pPr>
    </w:p>
    <w:p>
      <w:pPr>
        <w:pStyle w:val="56"/>
        <w:ind w:firstLine="420"/>
      </w:pPr>
    </w:p>
    <w:p>
      <w:pPr>
        <w:pStyle w:val="56"/>
        <w:ind w:firstLine="420"/>
        <w:sectPr>
          <w:pgSz w:w="11906" w:h="16838"/>
          <w:pgMar w:top="1928" w:right="1134" w:bottom="1134" w:left="1134" w:header="1418" w:footer="1134" w:gutter="284"/>
          <w:pgNumType w:start="1"/>
          <w:cols w:space="425" w:num="1"/>
          <w:formProt w:val="0"/>
          <w:docGrid w:linePitch="312" w:charSpace="0"/>
        </w:sectPr>
      </w:pPr>
    </w:p>
    <w:bookmarkEnd w:id="32"/>
    <w:p>
      <w:pPr>
        <w:pStyle w:val="198"/>
        <w:rPr>
          <w:vanish w:val="0"/>
        </w:rPr>
      </w:pPr>
      <w:bookmarkStart w:id="208" w:name="BookMark5"/>
    </w:p>
    <w:p>
      <w:pPr>
        <w:pStyle w:val="199"/>
        <w:rPr>
          <w:vanish w:val="0"/>
        </w:rPr>
      </w:pPr>
    </w:p>
    <w:p>
      <w:pPr>
        <w:pStyle w:val="76"/>
        <w:spacing w:after="120"/>
      </w:pPr>
      <w:r>
        <w:br w:type="textWrapping"/>
      </w:r>
      <w:bookmarkStart w:id="209" w:name="_Toc142051730"/>
      <w:bookmarkStart w:id="210" w:name="_Toc142055972"/>
      <w:bookmarkStart w:id="211" w:name="_Toc142054904"/>
      <w:bookmarkStart w:id="212" w:name="_Toc142051783"/>
      <w:bookmarkStart w:id="213" w:name="_Toc142051895"/>
      <w:bookmarkStart w:id="214" w:name="_Toc142056398"/>
      <w:r>
        <w:rPr>
          <w:rFonts w:hint="eastAsia"/>
        </w:rPr>
        <w:t>（资料性）</w:t>
      </w:r>
      <w:r>
        <w:br w:type="textWrapping"/>
      </w:r>
      <w:r>
        <w:rPr>
          <w:rFonts w:hint="eastAsia"/>
        </w:rPr>
        <w:t>船舶典型场景下的数据合规</w:t>
      </w:r>
      <w:bookmarkEnd w:id="209"/>
      <w:bookmarkEnd w:id="210"/>
      <w:bookmarkEnd w:id="211"/>
      <w:bookmarkEnd w:id="212"/>
      <w:bookmarkEnd w:id="213"/>
      <w:bookmarkEnd w:id="214"/>
    </w:p>
    <w:p>
      <w:pPr>
        <w:pStyle w:val="78"/>
        <w:spacing w:before="120" w:after="120"/>
        <w:rPr>
          <w:b/>
          <w:bCs/>
        </w:rPr>
      </w:pPr>
      <w:bookmarkStart w:id="215" w:name="_Toc142055973"/>
      <w:bookmarkStart w:id="216" w:name="_Toc142054905"/>
      <w:bookmarkStart w:id="217" w:name="_Toc142056399"/>
      <w:r>
        <w:rPr>
          <w:rFonts w:hint="eastAsia"/>
        </w:rPr>
        <w:t>船舶运输集装箱货物流程及数据合规要点</w:t>
      </w:r>
      <w:bookmarkEnd w:id="215"/>
      <w:bookmarkEnd w:id="216"/>
      <w:bookmarkEnd w:id="217"/>
    </w:p>
    <w:p>
      <w:pPr>
        <w:pStyle w:val="79"/>
        <w:spacing w:before="120" w:after="120"/>
        <w:rPr>
          <w:rFonts w:ascii="Arial" w:hAnsi="Arial"/>
        </w:rPr>
      </w:pPr>
      <w:r>
        <w:rPr>
          <w:rFonts w:hint="eastAsia"/>
        </w:rPr>
        <w:t>主要业务流程</w:t>
      </w:r>
    </w:p>
    <w:p>
      <w:pPr>
        <w:pStyle w:val="56"/>
        <w:ind w:firstLine="420"/>
      </w:pPr>
      <w:r>
        <w:rPr>
          <w:rFonts w:hint="eastAsia"/>
        </w:rPr>
        <w:t>船舶运输业务方面代表性业务为集装箱货物的出运，其主要流程如下：</w:t>
      </w:r>
    </w:p>
    <w:p>
      <w:pPr>
        <w:pStyle w:val="174"/>
        <w:numPr>
          <w:ilvl w:val="0"/>
          <w:numId w:val="42"/>
        </w:numPr>
      </w:pPr>
      <w:r>
        <w:rPr>
          <w:rFonts w:hint="eastAsia"/>
        </w:rPr>
        <w:t>航运公司根据自有船舶运力情况、已获审批的航线情况等，发布船期表，向社会公布特定港口之间的航运运输计划；</w:t>
      </w:r>
    </w:p>
    <w:p>
      <w:pPr>
        <w:pStyle w:val="174"/>
      </w:pPr>
      <w:r>
        <w:rPr>
          <w:rFonts w:hint="eastAsia"/>
        </w:rPr>
        <w:t>货方根据自身的需求，结合航运公司公布的船期表，联系货运代理企业或者全程物流公司，要求其在特定时间、特定地点安排将集装箱送至货方；</w:t>
      </w:r>
    </w:p>
    <w:p>
      <w:pPr>
        <w:pStyle w:val="174"/>
      </w:pPr>
      <w:r>
        <w:rPr>
          <w:rFonts w:hint="eastAsia"/>
        </w:rPr>
        <w:t>货方将货物装入相应集装箱；</w:t>
      </w:r>
    </w:p>
    <w:p>
      <w:pPr>
        <w:pStyle w:val="174"/>
      </w:pPr>
      <w:r>
        <w:rPr>
          <w:rFonts w:hint="eastAsia"/>
        </w:rPr>
        <w:t>物流公司联系船公司，根据货方要求，要求船公司安排将相应集装箱在特定日期装上特定航线船舶；</w:t>
      </w:r>
    </w:p>
    <w:p>
      <w:pPr>
        <w:pStyle w:val="174"/>
      </w:pPr>
      <w:r>
        <w:rPr>
          <w:rFonts w:hint="eastAsia"/>
        </w:rPr>
        <w:t>船公司根据物流公司提供的货物信息，包括货物重量、卸货港、货物危险性等，安排集装箱在船上的具体装载位置，即箱位；</w:t>
      </w:r>
    </w:p>
    <w:p>
      <w:pPr>
        <w:pStyle w:val="174"/>
      </w:pPr>
      <w:r>
        <w:rPr>
          <w:rFonts w:hint="eastAsia"/>
        </w:rPr>
        <w:t>货方通过物流公司将集装箱送到指定码头，船公司提前将装箱计划及箱位提供给码头；</w:t>
      </w:r>
    </w:p>
    <w:p>
      <w:pPr>
        <w:pStyle w:val="174"/>
      </w:pPr>
      <w:r>
        <w:rPr>
          <w:rFonts w:hint="eastAsia"/>
        </w:rPr>
        <w:t>码头根据船公司提供的装船计划，将重箱装上船舶指定位置，并将需要卸下的集装箱卸下；</w:t>
      </w:r>
    </w:p>
    <w:p>
      <w:pPr>
        <w:pStyle w:val="174"/>
      </w:pPr>
      <w:r>
        <w:rPr>
          <w:rFonts w:hint="eastAsia"/>
        </w:rPr>
        <w:t>船运运输集装箱至目的港后，将集装箱卸下；</w:t>
      </w:r>
    </w:p>
    <w:p>
      <w:pPr>
        <w:pStyle w:val="174"/>
      </w:pPr>
      <w:r>
        <w:rPr>
          <w:rFonts w:hint="eastAsia"/>
        </w:rPr>
        <w:t>船公司通知物流公司集装箱运抵情况，物流公司向货方反馈，货方自行或安排第三方至卸货港码头提取集装箱；</w:t>
      </w:r>
    </w:p>
    <w:p>
      <w:pPr>
        <w:pStyle w:val="174"/>
      </w:pPr>
      <w:r>
        <w:rPr>
          <w:rFonts w:hint="eastAsia"/>
        </w:rPr>
        <w:t>集装箱到达收货人指定处所后，收货人取出货物，并将集装箱归还给物流公司。</w:t>
      </w:r>
    </w:p>
    <w:p>
      <w:pPr>
        <w:pStyle w:val="79"/>
        <w:spacing w:before="120" w:after="120"/>
        <w:rPr>
          <w:rFonts w:ascii="Arial" w:hAnsi="Arial"/>
        </w:rPr>
      </w:pPr>
      <w:r>
        <w:rPr>
          <w:rFonts w:hint="eastAsia"/>
        </w:rPr>
        <w:t>涉及的主要数据</w:t>
      </w:r>
    </w:p>
    <w:p>
      <w:pPr>
        <w:pStyle w:val="56"/>
        <w:ind w:firstLine="420"/>
      </w:pPr>
      <w:r>
        <w:rPr>
          <w:rFonts w:hint="eastAsia"/>
        </w:rPr>
        <w:t>船舶运输集装箱的过程中涉及的数据包括以下方面：</w:t>
      </w:r>
    </w:p>
    <w:p>
      <w:pPr>
        <w:pStyle w:val="174"/>
        <w:numPr>
          <w:ilvl w:val="0"/>
          <w:numId w:val="43"/>
        </w:numPr>
      </w:pPr>
      <w:r>
        <w:rPr>
          <w:rFonts w:hint="eastAsia"/>
        </w:rPr>
        <w:t>发货人信息，包括名称、地址、联系方式；</w:t>
      </w:r>
    </w:p>
    <w:p>
      <w:pPr>
        <w:pStyle w:val="174"/>
      </w:pPr>
      <w:r>
        <w:rPr>
          <w:rFonts w:hint="eastAsia"/>
        </w:rPr>
        <w:t>收货人信息，包括名称、地址、联系方式等；</w:t>
      </w:r>
    </w:p>
    <w:p>
      <w:pPr>
        <w:pStyle w:val="174"/>
      </w:pPr>
      <w:r>
        <w:rPr>
          <w:rFonts w:hint="eastAsia"/>
        </w:rPr>
        <w:t>货物信息，包括名称、数量、重量、体积、危险性等；</w:t>
      </w:r>
    </w:p>
    <w:p>
      <w:pPr>
        <w:pStyle w:val="174"/>
      </w:pPr>
      <w:r>
        <w:rPr>
          <w:rFonts w:hint="eastAsia"/>
        </w:rPr>
        <w:t>货物运输信息，包括装货港、卸货港、装船日期等。</w:t>
      </w:r>
    </w:p>
    <w:p>
      <w:pPr>
        <w:pStyle w:val="79"/>
        <w:spacing w:before="120" w:after="120"/>
        <w:rPr>
          <w:rFonts w:ascii="Arial" w:hAnsi="Arial"/>
        </w:rPr>
      </w:pPr>
      <w:r>
        <w:rPr>
          <w:rFonts w:hint="eastAsia"/>
        </w:rPr>
        <w:t>数据合规要点</w:t>
      </w:r>
    </w:p>
    <w:p>
      <w:pPr>
        <w:pStyle w:val="56"/>
        <w:ind w:firstLine="420"/>
      </w:pPr>
      <w:r>
        <w:rPr>
          <w:rFonts w:hint="eastAsia"/>
        </w:rPr>
        <w:t>就船舶运输集装箱业务，宜从以下方面考虑数据合规要点：</w:t>
      </w:r>
    </w:p>
    <w:p>
      <w:pPr>
        <w:pStyle w:val="174"/>
        <w:numPr>
          <w:ilvl w:val="0"/>
          <w:numId w:val="44"/>
        </w:numPr>
      </w:pPr>
      <w:r>
        <w:rPr>
          <w:rFonts w:hint="eastAsia"/>
        </w:rPr>
        <w:t>信息收集：宜根据最小必要原则进行收集，不额外采集数据，比如货物原产地信息、价格信息。货物价格信息可能涉及到货方的商业秘密，除非有必要，否则船公司原则上不宜采集；</w:t>
      </w:r>
    </w:p>
    <w:p>
      <w:pPr>
        <w:pStyle w:val="174"/>
      </w:pPr>
      <w:r>
        <w:rPr>
          <w:rFonts w:hint="eastAsia"/>
        </w:rPr>
        <w:t>信息查询：船公司宜向公众提供货物运转情况信息，以促进物流也的智能化发展。另一方面，船公司不宜向公众提供过于细节的信息，宜隐去货物的具体名称、收发货人、价格等具体信息，仅提供集装箱概位信息即可，无需提供精确位置信息。船公司提供的集装箱动态信息对于一般用户而言极为重要，船公司宜确保信息的准确性、完整性；</w:t>
      </w:r>
    </w:p>
    <w:p>
      <w:pPr>
        <w:pStyle w:val="174"/>
      </w:pPr>
      <w:r>
        <w:rPr>
          <w:rFonts w:hint="eastAsia"/>
        </w:rPr>
        <w:t>传输安全：宜采用校验技术或密码技术保证数据在传输过程中的保密性、完整性，加密方法的选择宜考虑应用场景、传输方式、数据规模、效率要求等。设备宜默认开启数据加密功能。对于非经加密技术传输的信息，船公司宜与相关方做进一步核实，确保信息的准确性，避免信息泄露或者被篡改；</w:t>
      </w:r>
    </w:p>
    <w:p>
      <w:pPr>
        <w:pStyle w:val="174"/>
      </w:pPr>
      <w:r>
        <w:rPr>
          <w:rFonts w:hint="eastAsia"/>
        </w:rPr>
        <w:t>存储安全：提供并使用管理、物理和技术保护措施来保护数据免责免遭受未经授权的泄露或访问；定期备份数据；限制移动存储设备（例如光盘、</w:t>
      </w:r>
      <w:r>
        <w:t>U</w:t>
      </w:r>
      <w:r>
        <w:rPr>
          <w:rFonts w:hint="eastAsia"/>
        </w:rPr>
        <w:t>盘的）使用。船公司掌握的集装箱动态信息事关国际供应链的健康有序运转，且与相关方实时交互，宜采用多活措施确保信息的完整性、可用性。</w:t>
      </w:r>
    </w:p>
    <w:p>
      <w:pPr>
        <w:pStyle w:val="56"/>
        <w:ind w:firstLine="420"/>
      </w:pPr>
    </w:p>
    <w:p>
      <w:pPr>
        <w:pStyle w:val="56"/>
        <w:ind w:firstLine="420"/>
        <w:sectPr>
          <w:headerReference r:id="rId14" w:type="default"/>
          <w:footerReference r:id="rId16" w:type="default"/>
          <w:headerReference r:id="rId15" w:type="even"/>
          <w:footerReference r:id="rId17" w:type="even"/>
          <w:pgSz w:w="11906" w:h="16838"/>
          <w:pgMar w:top="1134" w:right="1134" w:bottom="1928"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after="120"/>
      </w:pPr>
      <w:r>
        <w:br w:type="textWrapping"/>
      </w:r>
      <w:bookmarkStart w:id="218" w:name="_Toc142054906"/>
      <w:bookmarkStart w:id="219" w:name="_Toc142055974"/>
      <w:bookmarkStart w:id="220" w:name="_Toc142056400"/>
      <w:r>
        <w:rPr>
          <w:rFonts w:hint="eastAsia"/>
        </w:rPr>
        <w:t>（资料性）</w:t>
      </w:r>
      <w:r>
        <w:br w:type="textWrapping"/>
      </w:r>
      <w:r>
        <w:rPr>
          <w:rFonts w:hint="eastAsia"/>
        </w:rPr>
        <w:t>航运数据分类分级示例</w:t>
      </w:r>
      <w:bookmarkEnd w:id="218"/>
      <w:bookmarkEnd w:id="219"/>
      <w:bookmarkEnd w:id="220"/>
    </w:p>
    <w:p>
      <w:pPr>
        <w:pStyle w:val="56"/>
        <w:ind w:firstLine="420"/>
      </w:pPr>
      <w:r>
        <w:rPr>
          <w:rFonts w:hint="eastAsia"/>
        </w:rPr>
        <w:t>航运数据分类分级示例如表B</w:t>
      </w:r>
      <w:r>
        <w:t>.1</w:t>
      </w:r>
      <w:r>
        <w:rPr>
          <w:rFonts w:hint="eastAsia"/>
        </w:rPr>
        <w:t>所示。</w:t>
      </w:r>
    </w:p>
    <w:p>
      <w:pPr>
        <w:pStyle w:val="77"/>
        <w:spacing w:before="120" w:after="120"/>
      </w:pPr>
      <w:bookmarkStart w:id="221" w:name="_Toc142054907"/>
      <w:bookmarkStart w:id="222" w:name="_Toc142055975"/>
      <w:bookmarkStart w:id="223" w:name="_Toc142056401"/>
      <w:r>
        <w:rPr>
          <w:rFonts w:hint="eastAsia"/>
        </w:rPr>
        <w:t>航运数据分类分级</w:t>
      </w:r>
      <w:bookmarkEnd w:id="221"/>
      <w:bookmarkEnd w:id="222"/>
      <w:bookmarkEnd w:id="223"/>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4"/>
        <w:gridCol w:w="2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2334" w:type="dxa"/>
            <w:tcBorders>
              <w:top w:val="single" w:color="auto" w:sz="8" w:space="0"/>
              <w:bottom w:val="single" w:color="auto" w:sz="8" w:space="0"/>
            </w:tcBorders>
            <w:shd w:val="clear" w:color="auto" w:fill="auto"/>
            <w:vAlign w:val="center"/>
          </w:tcPr>
          <w:p>
            <w:pPr>
              <w:pStyle w:val="178"/>
            </w:pPr>
            <w:r>
              <w:rPr>
                <w:rFonts w:hint="eastAsia"/>
              </w:rPr>
              <w:t>一层子类</w:t>
            </w:r>
          </w:p>
        </w:tc>
        <w:tc>
          <w:tcPr>
            <w:tcW w:w="2333" w:type="dxa"/>
            <w:tcBorders>
              <w:top w:val="single" w:color="auto" w:sz="8" w:space="0"/>
              <w:bottom w:val="single" w:color="auto" w:sz="8" w:space="0"/>
            </w:tcBorders>
            <w:shd w:val="clear" w:color="auto" w:fill="auto"/>
            <w:vAlign w:val="center"/>
          </w:tcPr>
          <w:p>
            <w:pPr>
              <w:pStyle w:val="178"/>
            </w:pPr>
            <w:r>
              <w:rPr>
                <w:rFonts w:hint="eastAsia"/>
              </w:rPr>
              <w:t>二层子类</w:t>
            </w:r>
          </w:p>
        </w:tc>
        <w:tc>
          <w:tcPr>
            <w:tcW w:w="2334" w:type="dxa"/>
            <w:tcBorders>
              <w:top w:val="single" w:color="auto" w:sz="8" w:space="0"/>
              <w:bottom w:val="single" w:color="auto" w:sz="8" w:space="0"/>
            </w:tcBorders>
            <w:shd w:val="clear" w:color="auto" w:fill="auto"/>
            <w:vAlign w:val="center"/>
          </w:tcPr>
          <w:p>
            <w:pPr>
              <w:pStyle w:val="178"/>
            </w:pPr>
            <w:r>
              <w:rPr>
                <w:rFonts w:hint="eastAsia"/>
              </w:rPr>
              <w:t>三层子类</w:t>
            </w:r>
          </w:p>
        </w:tc>
        <w:tc>
          <w:tcPr>
            <w:tcW w:w="2333" w:type="dxa"/>
            <w:tcBorders>
              <w:top w:val="single" w:color="auto" w:sz="8" w:space="0"/>
              <w:bottom w:val="single" w:color="auto" w:sz="8" w:space="0"/>
            </w:tcBorders>
            <w:shd w:val="clear" w:color="auto" w:fill="auto"/>
            <w:vAlign w:val="center"/>
          </w:tcPr>
          <w:p>
            <w:pPr>
              <w:pStyle w:val="178"/>
            </w:pPr>
            <w:r>
              <w:rPr>
                <w:rFonts w:hint="eastAsia"/>
              </w:rPr>
              <w:t>建议级别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restart"/>
            <w:tcBorders>
              <w:top w:val="single" w:color="auto" w:sz="8" w:space="0"/>
            </w:tcBorders>
            <w:shd w:val="clear" w:color="auto" w:fill="auto"/>
            <w:vAlign w:val="center"/>
          </w:tcPr>
          <w:p>
            <w:pPr>
              <w:pStyle w:val="178"/>
            </w:pPr>
            <w:r>
              <w:rPr>
                <w:rFonts w:hint="eastAsia"/>
              </w:rPr>
              <w:t>属性层</w:t>
            </w:r>
          </w:p>
        </w:tc>
        <w:tc>
          <w:tcPr>
            <w:tcW w:w="2333" w:type="dxa"/>
            <w:vMerge w:val="restart"/>
            <w:tcBorders>
              <w:top w:val="single" w:color="auto" w:sz="8" w:space="0"/>
            </w:tcBorders>
            <w:shd w:val="clear" w:color="auto" w:fill="auto"/>
            <w:vAlign w:val="center"/>
          </w:tcPr>
          <w:p>
            <w:pPr>
              <w:pStyle w:val="178"/>
            </w:pPr>
            <w:r>
              <w:rPr>
                <w:rFonts w:hint="eastAsia"/>
              </w:rPr>
              <w:t>登记信息</w:t>
            </w:r>
          </w:p>
        </w:tc>
        <w:tc>
          <w:tcPr>
            <w:tcW w:w="2334" w:type="dxa"/>
            <w:tcBorders>
              <w:top w:val="single" w:color="auto" w:sz="8" w:space="0"/>
            </w:tcBorders>
            <w:shd w:val="clear" w:color="auto" w:fill="auto"/>
            <w:vAlign w:val="center"/>
          </w:tcPr>
          <w:p>
            <w:pPr>
              <w:pStyle w:val="178"/>
            </w:pPr>
            <w:r>
              <w:rPr>
                <w:rFonts w:hint="eastAsia"/>
              </w:rPr>
              <w:t>船型信息</w:t>
            </w:r>
          </w:p>
        </w:tc>
        <w:tc>
          <w:tcPr>
            <w:tcW w:w="2333" w:type="dxa"/>
            <w:tcBorders>
              <w:top w:val="single" w:color="auto" w:sz="8" w:space="0"/>
            </w:tcBorders>
            <w:shd w:val="clear" w:color="auto" w:fill="auto"/>
            <w:vAlign w:val="center"/>
          </w:tcPr>
          <w:p>
            <w:pPr>
              <w:pStyle w:val="178"/>
            </w:pPr>
            <w:r>
              <w:rPr>
                <w:rFonts w:hint="eastAsia"/>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建造信息</w:t>
            </w:r>
          </w:p>
        </w:tc>
        <w:tc>
          <w:tcPr>
            <w:tcW w:w="2333" w:type="dxa"/>
            <w:shd w:val="clear" w:color="auto" w:fill="auto"/>
            <w:vAlign w:val="center"/>
          </w:tcPr>
          <w:p>
            <w:pPr>
              <w:pStyle w:val="178"/>
            </w:pPr>
            <w:r>
              <w:rPr>
                <w:rFonts w:hint="eastAsia"/>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经营信息</w:t>
            </w:r>
          </w:p>
        </w:tc>
        <w:tc>
          <w:tcPr>
            <w:tcW w:w="2333" w:type="dxa"/>
            <w:shd w:val="clear" w:color="auto" w:fill="auto"/>
            <w:vAlign w:val="center"/>
          </w:tcPr>
          <w:p>
            <w:pPr>
              <w:pStyle w:val="178"/>
            </w:pPr>
            <w:r>
              <w:rPr>
                <w:rFonts w:hint="eastAsia"/>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动力信息</w:t>
            </w:r>
          </w:p>
        </w:tc>
        <w:tc>
          <w:tcPr>
            <w:tcW w:w="2333" w:type="dxa"/>
            <w:shd w:val="clear" w:color="auto" w:fill="auto"/>
            <w:vAlign w:val="center"/>
          </w:tcPr>
          <w:p>
            <w:pPr>
              <w:pStyle w:val="178"/>
            </w:pPr>
            <w:r>
              <w:rPr>
                <w:rFonts w:hint="eastAsia"/>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其它登记信息</w:t>
            </w: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其它属性层数据</w:t>
            </w:r>
          </w:p>
        </w:tc>
        <w:tc>
          <w:tcPr>
            <w:tcW w:w="2334" w:type="dxa"/>
            <w:shd w:val="clear" w:color="auto" w:fill="auto"/>
            <w:vAlign w:val="center"/>
          </w:tcPr>
          <w:p>
            <w:pPr>
              <w:pStyle w:val="178"/>
            </w:pP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restart"/>
            <w:shd w:val="clear" w:color="auto" w:fill="auto"/>
            <w:vAlign w:val="center"/>
          </w:tcPr>
          <w:p>
            <w:pPr>
              <w:pStyle w:val="178"/>
            </w:pPr>
            <w:r>
              <w:rPr>
                <w:rFonts w:hint="eastAsia"/>
              </w:rPr>
              <w:t>行为层</w:t>
            </w:r>
          </w:p>
        </w:tc>
        <w:tc>
          <w:tcPr>
            <w:tcW w:w="2333" w:type="dxa"/>
            <w:vMerge w:val="restart"/>
            <w:shd w:val="clear" w:color="auto" w:fill="auto"/>
            <w:vAlign w:val="center"/>
          </w:tcPr>
          <w:p>
            <w:pPr>
              <w:pStyle w:val="178"/>
            </w:pPr>
            <w:r>
              <w:rPr>
                <w:rFonts w:hint="eastAsia"/>
              </w:rPr>
              <w:t>船舶调度</w:t>
            </w:r>
          </w:p>
        </w:tc>
        <w:tc>
          <w:tcPr>
            <w:tcW w:w="2334" w:type="dxa"/>
            <w:shd w:val="clear" w:color="auto" w:fill="auto"/>
            <w:vAlign w:val="center"/>
          </w:tcPr>
          <w:p>
            <w:pPr>
              <w:pStyle w:val="178"/>
            </w:pPr>
            <w:r>
              <w:rPr>
                <w:rFonts w:hint="eastAsia"/>
              </w:rPr>
              <w:t>A</w:t>
            </w:r>
            <w:r>
              <w:t>IS</w:t>
            </w:r>
            <w:r>
              <w:rPr>
                <w:rFonts w:hint="eastAsia"/>
              </w:rPr>
              <w:t>航行轨迹</w:t>
            </w:r>
          </w:p>
        </w:tc>
        <w:tc>
          <w:tcPr>
            <w:tcW w:w="2333" w:type="dxa"/>
            <w:shd w:val="clear" w:color="auto" w:fill="auto"/>
            <w:vAlign w:val="center"/>
          </w:tcPr>
          <w:p>
            <w:pPr>
              <w:pStyle w:val="178"/>
            </w:pPr>
            <w:r>
              <w:rPr>
                <w:rFonts w:hint="eastAsia"/>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航线上的海洋气象数据</w:t>
            </w:r>
          </w:p>
        </w:tc>
        <w:tc>
          <w:tcPr>
            <w:tcW w:w="2333" w:type="dxa"/>
            <w:shd w:val="clear" w:color="auto" w:fill="auto"/>
            <w:vAlign w:val="center"/>
          </w:tcPr>
          <w:p>
            <w:pPr>
              <w:pStyle w:val="178"/>
            </w:pPr>
            <w:r>
              <w:rPr>
                <w:rFonts w:hint="eastAsia"/>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挂靠港口</w:t>
            </w:r>
          </w:p>
        </w:tc>
        <w:tc>
          <w:tcPr>
            <w:tcW w:w="2333" w:type="dxa"/>
            <w:shd w:val="clear" w:color="auto" w:fill="auto"/>
            <w:vAlign w:val="center"/>
          </w:tcPr>
          <w:p>
            <w:pPr>
              <w:pStyle w:val="178"/>
            </w:pPr>
            <w:r>
              <w:t>2</w:t>
            </w:r>
            <w:r>
              <w:rPr>
                <w:rFonts w:hint="eastAsia"/>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其它船舶调度数据</w:t>
            </w: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restart"/>
            <w:shd w:val="clear" w:color="auto" w:fill="auto"/>
            <w:vAlign w:val="center"/>
          </w:tcPr>
          <w:p>
            <w:pPr>
              <w:pStyle w:val="178"/>
            </w:pPr>
            <w:r>
              <w:rPr>
                <w:rFonts w:hint="eastAsia"/>
              </w:rPr>
              <w:t>船舶事故</w:t>
            </w:r>
          </w:p>
        </w:tc>
        <w:tc>
          <w:tcPr>
            <w:tcW w:w="2334" w:type="dxa"/>
            <w:shd w:val="clear" w:color="auto" w:fill="auto"/>
            <w:vAlign w:val="center"/>
          </w:tcPr>
          <w:p>
            <w:pPr>
              <w:pStyle w:val="178"/>
            </w:pPr>
            <w:r>
              <w:rPr>
                <w:rFonts w:hint="eastAsia"/>
              </w:rPr>
              <w:t>海事仲裁</w:t>
            </w:r>
          </w:p>
        </w:tc>
        <w:tc>
          <w:tcPr>
            <w:tcW w:w="2333" w:type="dxa"/>
            <w:shd w:val="clear" w:color="auto" w:fill="auto"/>
            <w:vAlign w:val="center"/>
          </w:tcPr>
          <w:p>
            <w:pPr>
              <w:pStyle w:val="178"/>
            </w:pPr>
            <w:r>
              <w:rPr>
                <w:rFonts w:hint="eastAsia"/>
              </w:rPr>
              <w:t>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其它船舶事故数据</w:t>
            </w: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其它行为层数据</w:t>
            </w:r>
          </w:p>
        </w:tc>
        <w:tc>
          <w:tcPr>
            <w:tcW w:w="2334" w:type="dxa"/>
            <w:shd w:val="clear" w:color="auto" w:fill="auto"/>
            <w:vAlign w:val="center"/>
          </w:tcPr>
          <w:p>
            <w:pPr>
              <w:pStyle w:val="178"/>
            </w:pP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restart"/>
            <w:shd w:val="clear" w:color="auto" w:fill="auto"/>
            <w:vAlign w:val="center"/>
          </w:tcPr>
          <w:p>
            <w:pPr>
              <w:pStyle w:val="178"/>
            </w:pPr>
            <w:r>
              <w:rPr>
                <w:rFonts w:hint="eastAsia"/>
              </w:rPr>
              <w:t>协作层</w:t>
            </w:r>
          </w:p>
        </w:tc>
        <w:tc>
          <w:tcPr>
            <w:tcW w:w="2333" w:type="dxa"/>
            <w:vMerge w:val="restart"/>
            <w:shd w:val="clear" w:color="auto" w:fill="auto"/>
            <w:vAlign w:val="center"/>
          </w:tcPr>
          <w:p>
            <w:pPr>
              <w:pStyle w:val="178"/>
            </w:pPr>
            <w:r>
              <w:rPr>
                <w:rFonts w:hint="eastAsia"/>
              </w:rPr>
              <w:t>货物运输</w:t>
            </w:r>
          </w:p>
        </w:tc>
        <w:tc>
          <w:tcPr>
            <w:tcW w:w="2334" w:type="dxa"/>
            <w:shd w:val="clear" w:color="auto" w:fill="auto"/>
            <w:vAlign w:val="center"/>
          </w:tcPr>
          <w:p>
            <w:pPr>
              <w:pStyle w:val="178"/>
            </w:pPr>
            <w:r>
              <w:rPr>
                <w:rFonts w:hint="eastAsia"/>
              </w:rPr>
              <w:t>配载数据</w:t>
            </w:r>
          </w:p>
        </w:tc>
        <w:tc>
          <w:tcPr>
            <w:tcW w:w="2333" w:type="dxa"/>
            <w:shd w:val="clear" w:color="auto" w:fill="auto"/>
            <w:vAlign w:val="center"/>
          </w:tcPr>
          <w:p>
            <w:pPr>
              <w:pStyle w:val="178"/>
            </w:pPr>
            <w:r>
              <w:rPr>
                <w:rFonts w:hint="eastAsia"/>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积载数据</w:t>
            </w:r>
          </w:p>
        </w:tc>
        <w:tc>
          <w:tcPr>
            <w:tcW w:w="2333" w:type="dxa"/>
            <w:shd w:val="clear" w:color="auto" w:fill="auto"/>
            <w:vAlign w:val="center"/>
          </w:tcPr>
          <w:p>
            <w:pPr>
              <w:pStyle w:val="178"/>
            </w:pPr>
            <w:r>
              <w:rPr>
                <w:rFonts w:hint="eastAsia"/>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海事仲裁</w:t>
            </w:r>
          </w:p>
        </w:tc>
        <w:tc>
          <w:tcPr>
            <w:tcW w:w="2333" w:type="dxa"/>
            <w:shd w:val="clear" w:color="auto" w:fill="auto"/>
            <w:vAlign w:val="center"/>
          </w:tcPr>
          <w:p>
            <w:pPr>
              <w:pStyle w:val="178"/>
            </w:pPr>
            <w:r>
              <w:rPr>
                <w:rFonts w:hint="eastAsia"/>
              </w:rPr>
              <w:t>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其它货物运输数据</w:t>
            </w: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restart"/>
            <w:shd w:val="clear" w:color="auto" w:fill="auto"/>
            <w:vAlign w:val="center"/>
          </w:tcPr>
          <w:p>
            <w:pPr>
              <w:pStyle w:val="178"/>
            </w:pPr>
            <w:r>
              <w:rPr>
                <w:rFonts w:hint="eastAsia"/>
              </w:rPr>
              <w:t>船舶检验</w:t>
            </w:r>
          </w:p>
        </w:tc>
        <w:tc>
          <w:tcPr>
            <w:tcW w:w="2334" w:type="dxa"/>
            <w:shd w:val="clear" w:color="auto" w:fill="auto"/>
            <w:vAlign w:val="center"/>
          </w:tcPr>
          <w:p>
            <w:pPr>
              <w:pStyle w:val="178"/>
            </w:pPr>
            <w:r>
              <w:rPr>
                <w:rFonts w:hint="eastAsia"/>
              </w:rPr>
              <w:t>定期、年度检验</w:t>
            </w:r>
          </w:p>
        </w:tc>
        <w:tc>
          <w:tcPr>
            <w:tcW w:w="2333" w:type="dxa"/>
            <w:shd w:val="clear" w:color="auto" w:fill="auto"/>
            <w:vAlign w:val="center"/>
          </w:tcPr>
          <w:p>
            <w:pPr>
              <w:pStyle w:val="178"/>
            </w:pPr>
            <w:r>
              <w:rPr>
                <w:rFonts w:hint="eastAsia"/>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其它船舶检验数据</w:t>
            </w: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restart"/>
            <w:shd w:val="clear" w:color="auto" w:fill="auto"/>
            <w:vAlign w:val="center"/>
          </w:tcPr>
          <w:p>
            <w:pPr>
              <w:pStyle w:val="178"/>
            </w:pPr>
            <w:r>
              <w:rPr>
                <w:rFonts w:hint="eastAsia"/>
              </w:rPr>
              <w:t>船港协同</w:t>
            </w:r>
          </w:p>
        </w:tc>
        <w:tc>
          <w:tcPr>
            <w:tcW w:w="2334" w:type="dxa"/>
            <w:shd w:val="clear" w:color="auto" w:fill="auto"/>
            <w:vAlign w:val="center"/>
          </w:tcPr>
          <w:p>
            <w:pPr>
              <w:pStyle w:val="178"/>
            </w:pPr>
            <w:r>
              <w:rPr>
                <w:rFonts w:hint="eastAsia"/>
              </w:rPr>
              <w:t>货物装卸</w:t>
            </w:r>
          </w:p>
        </w:tc>
        <w:tc>
          <w:tcPr>
            <w:tcW w:w="2333" w:type="dxa"/>
            <w:shd w:val="clear" w:color="auto" w:fill="auto"/>
            <w:vAlign w:val="center"/>
          </w:tcPr>
          <w:p>
            <w:pPr>
              <w:pStyle w:val="178"/>
            </w:pPr>
            <w:r>
              <w:rPr>
                <w:rFonts w:hint="eastAsia"/>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船期</w:t>
            </w:r>
          </w:p>
        </w:tc>
        <w:tc>
          <w:tcPr>
            <w:tcW w:w="2333" w:type="dxa"/>
            <w:shd w:val="clear" w:color="auto" w:fill="auto"/>
            <w:vAlign w:val="center"/>
          </w:tcPr>
          <w:p>
            <w:pPr>
              <w:pStyle w:val="178"/>
            </w:pPr>
            <w:r>
              <w:rPr>
                <w:rFonts w:hint="eastAsia"/>
              </w:rPr>
              <w:t>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预抵港</w:t>
            </w:r>
          </w:p>
        </w:tc>
        <w:tc>
          <w:tcPr>
            <w:tcW w:w="2333" w:type="dxa"/>
            <w:shd w:val="clear" w:color="auto" w:fill="auto"/>
            <w:vAlign w:val="center"/>
          </w:tcPr>
          <w:p>
            <w:pPr>
              <w:pStyle w:val="178"/>
            </w:pPr>
            <w:r>
              <w:rPr>
                <w:rFonts w:hint="eastAsia"/>
              </w:rPr>
              <w:t>2级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其它船港协同数据</w:t>
            </w: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其它协作层数据</w:t>
            </w:r>
          </w:p>
        </w:tc>
        <w:tc>
          <w:tcPr>
            <w:tcW w:w="2334" w:type="dxa"/>
            <w:shd w:val="clear" w:color="auto" w:fill="auto"/>
            <w:vAlign w:val="center"/>
          </w:tcPr>
          <w:p>
            <w:pPr>
              <w:pStyle w:val="178"/>
            </w:pP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shd w:val="clear" w:color="auto" w:fill="auto"/>
            <w:vAlign w:val="center"/>
          </w:tcPr>
          <w:p>
            <w:pPr>
              <w:pStyle w:val="178"/>
            </w:pPr>
            <w:r>
              <w:rPr>
                <w:rFonts w:hint="eastAsia"/>
              </w:rPr>
              <w:t>感知层</w:t>
            </w:r>
          </w:p>
        </w:tc>
        <w:tc>
          <w:tcPr>
            <w:tcW w:w="2333" w:type="dxa"/>
            <w:shd w:val="clear" w:color="auto" w:fill="auto"/>
            <w:vAlign w:val="center"/>
          </w:tcPr>
          <w:p>
            <w:pPr>
              <w:pStyle w:val="178"/>
            </w:pPr>
          </w:p>
        </w:tc>
        <w:tc>
          <w:tcPr>
            <w:tcW w:w="2334" w:type="dxa"/>
            <w:shd w:val="clear" w:color="auto" w:fill="auto"/>
            <w:vAlign w:val="center"/>
          </w:tcPr>
          <w:p>
            <w:pPr>
              <w:pStyle w:val="178"/>
            </w:pP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shd w:val="clear" w:color="auto" w:fill="auto"/>
            <w:vAlign w:val="center"/>
          </w:tcPr>
          <w:p>
            <w:pPr>
              <w:pStyle w:val="178"/>
            </w:pPr>
            <w:r>
              <w:rPr>
                <w:rFonts w:hint="eastAsia"/>
              </w:rPr>
              <w:t>监管层</w:t>
            </w:r>
          </w:p>
        </w:tc>
        <w:tc>
          <w:tcPr>
            <w:tcW w:w="2333" w:type="dxa"/>
            <w:shd w:val="clear" w:color="auto" w:fill="auto"/>
            <w:vAlign w:val="center"/>
          </w:tcPr>
          <w:p>
            <w:pPr>
              <w:pStyle w:val="178"/>
            </w:pPr>
          </w:p>
        </w:tc>
        <w:tc>
          <w:tcPr>
            <w:tcW w:w="2334" w:type="dxa"/>
            <w:shd w:val="clear" w:color="auto" w:fill="auto"/>
            <w:vAlign w:val="center"/>
          </w:tcPr>
          <w:p>
            <w:pPr>
              <w:pStyle w:val="178"/>
            </w:pPr>
          </w:p>
        </w:tc>
        <w:tc>
          <w:tcPr>
            <w:tcW w:w="233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4" w:type="dxa"/>
            <w:shd w:val="clear" w:color="auto" w:fill="auto"/>
            <w:vAlign w:val="center"/>
          </w:tcPr>
          <w:p>
            <w:pPr>
              <w:pStyle w:val="178"/>
            </w:pPr>
            <w:r>
              <w:rPr>
                <w:rFonts w:hint="eastAsia"/>
              </w:rPr>
              <w:t>交易层</w:t>
            </w:r>
          </w:p>
        </w:tc>
        <w:tc>
          <w:tcPr>
            <w:tcW w:w="2333" w:type="dxa"/>
            <w:shd w:val="clear" w:color="auto" w:fill="auto"/>
            <w:vAlign w:val="center"/>
          </w:tcPr>
          <w:p>
            <w:pPr>
              <w:pStyle w:val="178"/>
            </w:pPr>
          </w:p>
        </w:tc>
        <w:tc>
          <w:tcPr>
            <w:tcW w:w="2334" w:type="dxa"/>
            <w:shd w:val="clear" w:color="auto" w:fill="auto"/>
            <w:vAlign w:val="center"/>
          </w:tcPr>
          <w:p>
            <w:pPr>
              <w:pStyle w:val="178"/>
            </w:pPr>
          </w:p>
        </w:tc>
        <w:tc>
          <w:tcPr>
            <w:tcW w:w="2333" w:type="dxa"/>
            <w:shd w:val="clear" w:color="auto" w:fill="auto"/>
            <w:vAlign w:val="center"/>
          </w:tcPr>
          <w:p>
            <w:pPr>
              <w:pStyle w:val="178"/>
            </w:pPr>
          </w:p>
        </w:tc>
      </w:tr>
    </w:tbl>
    <w:p>
      <w:pPr>
        <w:pStyle w:val="56"/>
        <w:ind w:firstLine="420"/>
      </w:pPr>
    </w:p>
    <w:p>
      <w:pPr>
        <w:pStyle w:val="56"/>
        <w:ind w:firstLine="420"/>
      </w:pPr>
    </w:p>
    <w:p>
      <w:pPr>
        <w:pStyle w:val="56"/>
        <w:ind w:firstLine="420"/>
      </w:pPr>
    </w:p>
    <w:bookmarkEnd w:id="208"/>
    <w:p>
      <w:pPr>
        <w:pStyle w:val="56"/>
        <w:ind w:firstLine="420"/>
      </w:pPr>
    </w:p>
    <w:sectPr>
      <w:pgSz w:w="11906" w:h="16838"/>
      <w:pgMar w:top="1134" w:right="1134" w:bottom="1928"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T/CHNSA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T/CHNSA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T/CHNSA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T/CHNSA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A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631"/>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89D"/>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541B"/>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A30"/>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329"/>
    <w:rsid w:val="00210B15"/>
    <w:rsid w:val="002142EA"/>
    <w:rsid w:val="00215ADD"/>
    <w:rsid w:val="002204BB"/>
    <w:rsid w:val="00221B79"/>
    <w:rsid w:val="00221C6B"/>
    <w:rsid w:val="002253A1"/>
    <w:rsid w:val="002255AD"/>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8D6"/>
    <w:rsid w:val="00281BB8"/>
    <w:rsid w:val="00281E9E"/>
    <w:rsid w:val="00282405"/>
    <w:rsid w:val="00282918"/>
    <w:rsid w:val="00285170"/>
    <w:rsid w:val="00285361"/>
    <w:rsid w:val="00292D60"/>
    <w:rsid w:val="00293B30"/>
    <w:rsid w:val="00294D34"/>
    <w:rsid w:val="00294E3B"/>
    <w:rsid w:val="00296193"/>
    <w:rsid w:val="00296C66"/>
    <w:rsid w:val="00296EBE"/>
    <w:rsid w:val="002974E3"/>
    <w:rsid w:val="002975C5"/>
    <w:rsid w:val="00297B61"/>
    <w:rsid w:val="002A084B"/>
    <w:rsid w:val="002A1260"/>
    <w:rsid w:val="002A1589"/>
    <w:rsid w:val="002A1608"/>
    <w:rsid w:val="002A25DC"/>
    <w:rsid w:val="002A3AAB"/>
    <w:rsid w:val="002A4CEA"/>
    <w:rsid w:val="002A5977"/>
    <w:rsid w:val="002A5A13"/>
    <w:rsid w:val="002A6015"/>
    <w:rsid w:val="002A757F"/>
    <w:rsid w:val="002A7F44"/>
    <w:rsid w:val="002B0C40"/>
    <w:rsid w:val="002B1966"/>
    <w:rsid w:val="002B42AA"/>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3DB8"/>
    <w:rsid w:val="00317988"/>
    <w:rsid w:val="003221B4"/>
    <w:rsid w:val="0032232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228"/>
    <w:rsid w:val="003C5A43"/>
    <w:rsid w:val="003D0519"/>
    <w:rsid w:val="003D0FF6"/>
    <w:rsid w:val="003D262C"/>
    <w:rsid w:val="003D6D61"/>
    <w:rsid w:val="003E019F"/>
    <w:rsid w:val="003E091D"/>
    <w:rsid w:val="003E1C53"/>
    <w:rsid w:val="003E2A69"/>
    <w:rsid w:val="003E2D49"/>
    <w:rsid w:val="003E2FD4"/>
    <w:rsid w:val="003E49F6"/>
    <w:rsid w:val="003E63AB"/>
    <w:rsid w:val="003E660F"/>
    <w:rsid w:val="003F0841"/>
    <w:rsid w:val="003F23D3"/>
    <w:rsid w:val="003F3EEC"/>
    <w:rsid w:val="003F3F08"/>
    <w:rsid w:val="003F49F1"/>
    <w:rsid w:val="003F6272"/>
    <w:rsid w:val="00400E72"/>
    <w:rsid w:val="00401400"/>
    <w:rsid w:val="00404869"/>
    <w:rsid w:val="00405884"/>
    <w:rsid w:val="00407D39"/>
    <w:rsid w:val="00413F45"/>
    <w:rsid w:val="0041477A"/>
    <w:rsid w:val="004167A3"/>
    <w:rsid w:val="00432DAA"/>
    <w:rsid w:val="00434305"/>
    <w:rsid w:val="00435DF7"/>
    <w:rsid w:val="0044083F"/>
    <w:rsid w:val="00441AE7"/>
    <w:rsid w:val="00445574"/>
    <w:rsid w:val="004465A2"/>
    <w:rsid w:val="004467FB"/>
    <w:rsid w:val="00452D6B"/>
    <w:rsid w:val="00454484"/>
    <w:rsid w:val="00455141"/>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4E5"/>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75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674"/>
    <w:rsid w:val="005220EC"/>
    <w:rsid w:val="00523F95"/>
    <w:rsid w:val="00524D65"/>
    <w:rsid w:val="00525B16"/>
    <w:rsid w:val="00530534"/>
    <w:rsid w:val="00533D04"/>
    <w:rsid w:val="00534804"/>
    <w:rsid w:val="00534BDF"/>
    <w:rsid w:val="005354EA"/>
    <w:rsid w:val="0053585F"/>
    <w:rsid w:val="00535EC4"/>
    <w:rsid w:val="00535ED9"/>
    <w:rsid w:val="0053692B"/>
    <w:rsid w:val="005372AC"/>
    <w:rsid w:val="00541853"/>
    <w:rsid w:val="0054372E"/>
    <w:rsid w:val="00543A48"/>
    <w:rsid w:val="00543BDA"/>
    <w:rsid w:val="005441CC"/>
    <w:rsid w:val="00544C0F"/>
    <w:rsid w:val="00545594"/>
    <w:rsid w:val="005479DA"/>
    <w:rsid w:val="00547BCC"/>
    <w:rsid w:val="0055013B"/>
    <w:rsid w:val="00551F6F"/>
    <w:rsid w:val="00555044"/>
    <w:rsid w:val="005556F6"/>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EC0"/>
    <w:rsid w:val="005C5F21"/>
    <w:rsid w:val="005C7156"/>
    <w:rsid w:val="005D0C75"/>
    <w:rsid w:val="005D4171"/>
    <w:rsid w:val="005D6A95"/>
    <w:rsid w:val="005D6B2C"/>
    <w:rsid w:val="005D6D9C"/>
    <w:rsid w:val="005E0BC2"/>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5A6"/>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CE8"/>
    <w:rsid w:val="00704387"/>
    <w:rsid w:val="00707669"/>
    <w:rsid w:val="00711CBA"/>
    <w:rsid w:val="00711FB5"/>
    <w:rsid w:val="00712A01"/>
    <w:rsid w:val="00714F58"/>
    <w:rsid w:val="00722FBF"/>
    <w:rsid w:val="00722FC2"/>
    <w:rsid w:val="00724E1B"/>
    <w:rsid w:val="00725949"/>
    <w:rsid w:val="00727FA2"/>
    <w:rsid w:val="007322D9"/>
    <w:rsid w:val="00732BC0"/>
    <w:rsid w:val="007332F3"/>
    <w:rsid w:val="0073720F"/>
    <w:rsid w:val="00737796"/>
    <w:rsid w:val="0074165C"/>
    <w:rsid w:val="00742C35"/>
    <w:rsid w:val="00742DF6"/>
    <w:rsid w:val="007432CA"/>
    <w:rsid w:val="007439EB"/>
    <w:rsid w:val="00743CB4"/>
    <w:rsid w:val="00743F0A"/>
    <w:rsid w:val="007444E8"/>
    <w:rsid w:val="007449E4"/>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385"/>
    <w:rsid w:val="007B04EB"/>
    <w:rsid w:val="007B0D4F"/>
    <w:rsid w:val="007B5A3D"/>
    <w:rsid w:val="007B5B95"/>
    <w:rsid w:val="007B6032"/>
    <w:rsid w:val="007B68EA"/>
    <w:rsid w:val="007B7453"/>
    <w:rsid w:val="007B786D"/>
    <w:rsid w:val="007C2D89"/>
    <w:rsid w:val="007C4593"/>
    <w:rsid w:val="007C5309"/>
    <w:rsid w:val="007C6069"/>
    <w:rsid w:val="007D06C4"/>
    <w:rsid w:val="007D1352"/>
    <w:rsid w:val="007D2508"/>
    <w:rsid w:val="007D346A"/>
    <w:rsid w:val="007D6518"/>
    <w:rsid w:val="007D76BD"/>
    <w:rsid w:val="007E0BF1"/>
    <w:rsid w:val="007E550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6E0"/>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73"/>
    <w:rsid w:val="00840F84"/>
    <w:rsid w:val="00842A47"/>
    <w:rsid w:val="00843C13"/>
    <w:rsid w:val="00843DEF"/>
    <w:rsid w:val="008454F8"/>
    <w:rsid w:val="00850CDD"/>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5CD7"/>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0E57"/>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3B8"/>
    <w:rsid w:val="00913CA9"/>
    <w:rsid w:val="009145AE"/>
    <w:rsid w:val="009146CE"/>
    <w:rsid w:val="00914CA7"/>
    <w:rsid w:val="00915C3E"/>
    <w:rsid w:val="009161A8"/>
    <w:rsid w:val="00917A33"/>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50F"/>
    <w:rsid w:val="00975727"/>
    <w:rsid w:val="00977010"/>
    <w:rsid w:val="00977D02"/>
    <w:rsid w:val="00977FF9"/>
    <w:rsid w:val="009809BB"/>
    <w:rsid w:val="0098364B"/>
    <w:rsid w:val="00983A71"/>
    <w:rsid w:val="00986467"/>
    <w:rsid w:val="009908A3"/>
    <w:rsid w:val="009911AF"/>
    <w:rsid w:val="00991875"/>
    <w:rsid w:val="00991F92"/>
    <w:rsid w:val="00992985"/>
    <w:rsid w:val="00993889"/>
    <w:rsid w:val="0099551B"/>
    <w:rsid w:val="00996BD2"/>
    <w:rsid w:val="00997BF1"/>
    <w:rsid w:val="009A089C"/>
    <w:rsid w:val="009A118E"/>
    <w:rsid w:val="009A13C1"/>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697"/>
    <w:rsid w:val="009D47FA"/>
    <w:rsid w:val="009D4C5B"/>
    <w:rsid w:val="009D50D2"/>
    <w:rsid w:val="009D6BCA"/>
    <w:rsid w:val="009E0F62"/>
    <w:rsid w:val="009E4A58"/>
    <w:rsid w:val="009E5A2D"/>
    <w:rsid w:val="009E5AB2"/>
    <w:rsid w:val="009E6219"/>
    <w:rsid w:val="009E69E8"/>
    <w:rsid w:val="009F03B3"/>
    <w:rsid w:val="009F4221"/>
    <w:rsid w:val="00A0096C"/>
    <w:rsid w:val="00A00D44"/>
    <w:rsid w:val="00A01757"/>
    <w:rsid w:val="00A028C0"/>
    <w:rsid w:val="00A02BAE"/>
    <w:rsid w:val="00A06A6B"/>
    <w:rsid w:val="00A07E47"/>
    <w:rsid w:val="00A1189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5E5"/>
    <w:rsid w:val="00A42CDF"/>
    <w:rsid w:val="00A4452E"/>
    <w:rsid w:val="00A4472C"/>
    <w:rsid w:val="00A44E69"/>
    <w:rsid w:val="00A460A0"/>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0A1"/>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0E35"/>
    <w:rsid w:val="00B113DB"/>
    <w:rsid w:val="00B11D8A"/>
    <w:rsid w:val="00B12981"/>
    <w:rsid w:val="00B147DD"/>
    <w:rsid w:val="00B156FD"/>
    <w:rsid w:val="00B21F61"/>
    <w:rsid w:val="00B261F1"/>
    <w:rsid w:val="00B265BC"/>
    <w:rsid w:val="00B31FB1"/>
    <w:rsid w:val="00B326B7"/>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8CC"/>
    <w:rsid w:val="00B60ACF"/>
    <w:rsid w:val="00B6100B"/>
    <w:rsid w:val="00B62B58"/>
    <w:rsid w:val="00B65149"/>
    <w:rsid w:val="00B66567"/>
    <w:rsid w:val="00B66E17"/>
    <w:rsid w:val="00B66F52"/>
    <w:rsid w:val="00B66FE5"/>
    <w:rsid w:val="00B72880"/>
    <w:rsid w:val="00B758BF"/>
    <w:rsid w:val="00B77EC8"/>
    <w:rsid w:val="00B827A6"/>
    <w:rsid w:val="00B831CE"/>
    <w:rsid w:val="00B86677"/>
    <w:rsid w:val="00B87131"/>
    <w:rsid w:val="00B92BAE"/>
    <w:rsid w:val="00B939B1"/>
    <w:rsid w:val="00B96D40"/>
    <w:rsid w:val="00B97386"/>
    <w:rsid w:val="00BA263B"/>
    <w:rsid w:val="00BA42B2"/>
    <w:rsid w:val="00BA56A5"/>
    <w:rsid w:val="00BA58D4"/>
    <w:rsid w:val="00BA5B9E"/>
    <w:rsid w:val="00BA7C9A"/>
    <w:rsid w:val="00BB5F8F"/>
    <w:rsid w:val="00BB657A"/>
    <w:rsid w:val="00BC1A4E"/>
    <w:rsid w:val="00BC5DC7"/>
    <w:rsid w:val="00BC6B8B"/>
    <w:rsid w:val="00BC73D8"/>
    <w:rsid w:val="00BD52D7"/>
    <w:rsid w:val="00BD5AD2"/>
    <w:rsid w:val="00BE1A1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C9"/>
    <w:rsid w:val="00C21BFA"/>
    <w:rsid w:val="00C2258C"/>
    <w:rsid w:val="00C24C8D"/>
    <w:rsid w:val="00C25FE2"/>
    <w:rsid w:val="00C26B53"/>
    <w:rsid w:val="00C279B2"/>
    <w:rsid w:val="00C33E50"/>
    <w:rsid w:val="00C34C20"/>
    <w:rsid w:val="00C35A3E"/>
    <w:rsid w:val="00C42130"/>
    <w:rsid w:val="00C423A4"/>
    <w:rsid w:val="00C423E3"/>
    <w:rsid w:val="00C44BF5"/>
    <w:rsid w:val="00C4590E"/>
    <w:rsid w:val="00C521D6"/>
    <w:rsid w:val="00C55232"/>
    <w:rsid w:val="00C553A4"/>
    <w:rsid w:val="00C55A06"/>
    <w:rsid w:val="00C55D03"/>
    <w:rsid w:val="00C5781A"/>
    <w:rsid w:val="00C601BC"/>
    <w:rsid w:val="00C6329F"/>
    <w:rsid w:val="00C63340"/>
    <w:rsid w:val="00C643F9"/>
    <w:rsid w:val="00C64E95"/>
    <w:rsid w:val="00C6760C"/>
    <w:rsid w:val="00C70AA9"/>
    <w:rsid w:val="00C71372"/>
    <w:rsid w:val="00C72410"/>
    <w:rsid w:val="00C7287F"/>
    <w:rsid w:val="00C80CB8"/>
    <w:rsid w:val="00C819F8"/>
    <w:rsid w:val="00C8248C"/>
    <w:rsid w:val="00C84E33"/>
    <w:rsid w:val="00C85864"/>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823"/>
    <w:rsid w:val="00D25E37"/>
    <w:rsid w:val="00D2661A"/>
    <w:rsid w:val="00D27582"/>
    <w:rsid w:val="00D27EC4"/>
    <w:rsid w:val="00D32719"/>
    <w:rsid w:val="00D33333"/>
    <w:rsid w:val="00D352A2"/>
    <w:rsid w:val="00D357B5"/>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E0A"/>
    <w:rsid w:val="00DF44DE"/>
    <w:rsid w:val="00E01138"/>
    <w:rsid w:val="00E02DFB"/>
    <w:rsid w:val="00E030F9"/>
    <w:rsid w:val="00E0311A"/>
    <w:rsid w:val="00E03138"/>
    <w:rsid w:val="00E04AEF"/>
    <w:rsid w:val="00E06404"/>
    <w:rsid w:val="00E11A85"/>
    <w:rsid w:val="00E12495"/>
    <w:rsid w:val="00E15CCD"/>
    <w:rsid w:val="00E202EF"/>
    <w:rsid w:val="00E20D60"/>
    <w:rsid w:val="00E210B5"/>
    <w:rsid w:val="00E2552F"/>
    <w:rsid w:val="00E3137A"/>
    <w:rsid w:val="00E32CCF"/>
    <w:rsid w:val="00E33503"/>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3DE9"/>
    <w:rsid w:val="00EA58D1"/>
    <w:rsid w:val="00EA61BC"/>
    <w:rsid w:val="00EA681A"/>
    <w:rsid w:val="00EA735B"/>
    <w:rsid w:val="00EB1E69"/>
    <w:rsid w:val="00EB2086"/>
    <w:rsid w:val="00EB31ED"/>
    <w:rsid w:val="00EB5EDF"/>
    <w:rsid w:val="00EB60FE"/>
    <w:rsid w:val="00EB6599"/>
    <w:rsid w:val="00EB74DB"/>
    <w:rsid w:val="00EC5359"/>
    <w:rsid w:val="00EC562A"/>
    <w:rsid w:val="00ED067A"/>
    <w:rsid w:val="00ED2B50"/>
    <w:rsid w:val="00ED3FE6"/>
    <w:rsid w:val="00EE0350"/>
    <w:rsid w:val="00EE0719"/>
    <w:rsid w:val="00EE0E80"/>
    <w:rsid w:val="00EE613F"/>
    <w:rsid w:val="00EE7295"/>
    <w:rsid w:val="00EE7869"/>
    <w:rsid w:val="00EF054A"/>
    <w:rsid w:val="00EF3235"/>
    <w:rsid w:val="00EF33A3"/>
    <w:rsid w:val="00EF7E72"/>
    <w:rsid w:val="00F0356A"/>
    <w:rsid w:val="00F06D37"/>
    <w:rsid w:val="00F07B9D"/>
    <w:rsid w:val="00F11510"/>
    <w:rsid w:val="00F11586"/>
    <w:rsid w:val="00F1183B"/>
    <w:rsid w:val="00F11C9F"/>
    <w:rsid w:val="00F12263"/>
    <w:rsid w:val="00F1409D"/>
    <w:rsid w:val="00F14214"/>
    <w:rsid w:val="00F157A9"/>
    <w:rsid w:val="00F16F00"/>
    <w:rsid w:val="00F20296"/>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F93"/>
    <w:rsid w:val="00F56511"/>
    <w:rsid w:val="00F6194E"/>
    <w:rsid w:val="00F623AC"/>
    <w:rsid w:val="00F6412A"/>
    <w:rsid w:val="00F65893"/>
    <w:rsid w:val="00F66A4A"/>
    <w:rsid w:val="00F71E22"/>
    <w:rsid w:val="00F72142"/>
    <w:rsid w:val="00F72AE7"/>
    <w:rsid w:val="00F8155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4C9"/>
    <w:rsid w:val="00FF730C"/>
    <w:rsid w:val="00FF73F4"/>
    <w:rsid w:val="00FF7CE4"/>
    <w:rsid w:val="00FF7E39"/>
    <w:rsid w:val="6AE9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9"/>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9"/>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First Paragraph"/>
    <w:basedOn w:val="13"/>
    <w:next w:val="13"/>
    <w:qFormat/>
    <w:uiPriority w:val="0"/>
    <w:pPr>
      <w:widowControl/>
      <w:adjustRightInd/>
      <w:spacing w:before="180" w:after="180" w:line="240" w:lineRule="auto"/>
      <w:jc w:val="left"/>
    </w:pPr>
    <w:rPr>
      <w:rFonts w:ascii="Cambria" w:hAnsi="Cambria"/>
      <w:kern w:val="0"/>
      <w:sz w:val="24"/>
      <w:szCs w:val="24"/>
      <w:lang w:eastAsia="en-US"/>
    </w:rPr>
  </w:style>
  <w:style w:type="character" w:customStyle="1" w:styleId="231">
    <w:name w:val="ConstantTok"/>
    <w:basedOn w:val="28"/>
    <w:qFormat/>
    <w:uiPriority w:val="0"/>
    <w:rPr>
      <w:rFonts w:ascii="Consolas" w:hAnsi="Consolas"/>
      <w:color w:val="880000"/>
      <w:sz w:val="22"/>
    </w:rPr>
  </w:style>
  <w:style w:type="paragraph" w:styleId="232">
    <w:name w:val="List Paragraph"/>
    <w:basedOn w:val="1"/>
    <w:qFormat/>
    <w:uiPriority w:val="34"/>
    <w:pPr>
      <w:widowControl/>
      <w:adjustRightInd/>
      <w:spacing w:after="200" w:line="240" w:lineRule="auto"/>
      <w:ind w:firstLine="420" w:firstLineChars="200"/>
      <w:jc w:val="left"/>
    </w:pPr>
    <w:rPr>
      <w:rFonts w:ascii="Cambria" w:hAnsi="Cambria"/>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AB6E3D4DD04986870F868E9101D2E1"/>
        <w:style w:val=""/>
        <w:category>
          <w:name w:val="常规"/>
          <w:gallery w:val="placeholder"/>
        </w:category>
        <w:types>
          <w:type w:val="bbPlcHdr"/>
        </w:types>
        <w:behaviors>
          <w:behavior w:val="content"/>
        </w:behaviors>
        <w:description w:val=""/>
        <w:guid w:val="{C2CD91EE-55B5-472D-99B1-E1940D71181B}"/>
      </w:docPartPr>
      <w:docPartBody>
        <w:p>
          <w:pPr>
            <w:pStyle w:val="5"/>
          </w:pPr>
          <w:r>
            <w:rPr>
              <w:rStyle w:val="4"/>
              <w:rFonts w:hint="eastAsia"/>
            </w:rPr>
            <w:t>单击或点击此处输入文字。</w:t>
          </w:r>
        </w:p>
      </w:docPartBody>
    </w:docPart>
    <w:docPart>
      <w:docPartPr>
        <w:name w:val="8915A94843C946FDB5EBF60E99ECBF84"/>
        <w:style w:val=""/>
        <w:category>
          <w:name w:val="常规"/>
          <w:gallery w:val="placeholder"/>
        </w:category>
        <w:types>
          <w:type w:val="bbPlcHdr"/>
        </w:types>
        <w:behaviors>
          <w:behavior w:val="content"/>
        </w:behaviors>
        <w:description w:val=""/>
        <w:guid w:val="{BD889F6A-97A8-4696-9DFC-AA7F83117E24}"/>
      </w:docPartPr>
      <w:docPartBody>
        <w:p>
          <w:pPr>
            <w:pStyle w:val="6"/>
          </w:pPr>
          <w:r>
            <w:rPr>
              <w:rStyle w:val="4"/>
              <w:rFonts w:hint="eastAsia"/>
            </w:rPr>
            <w:t>选择一项。</w:t>
          </w:r>
        </w:p>
      </w:docPartBody>
    </w:docPart>
    <w:docPart>
      <w:docPartPr>
        <w:name w:val="9F5F8AB96D7D49CE939124C815730325"/>
        <w:style w:val=""/>
        <w:category>
          <w:name w:val="常规"/>
          <w:gallery w:val="placeholder"/>
        </w:category>
        <w:types>
          <w:type w:val="bbPlcHdr"/>
        </w:types>
        <w:behaviors>
          <w:behavior w:val="content"/>
        </w:behaviors>
        <w:description w:val=""/>
        <w:guid w:val="{0B5A3779-F95C-4914-8476-A0EA231C5AF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30"/>
    <w:rsid w:val="000909F0"/>
    <w:rsid w:val="000C1079"/>
    <w:rsid w:val="00136B45"/>
    <w:rsid w:val="00194E88"/>
    <w:rsid w:val="001A67C2"/>
    <w:rsid w:val="002C359C"/>
    <w:rsid w:val="004466F1"/>
    <w:rsid w:val="00745941"/>
    <w:rsid w:val="007B6DF7"/>
    <w:rsid w:val="00804930"/>
    <w:rsid w:val="008232C5"/>
    <w:rsid w:val="00AB3BDE"/>
    <w:rsid w:val="00AC0802"/>
    <w:rsid w:val="00D239CE"/>
    <w:rsid w:val="00DF6309"/>
    <w:rsid w:val="00F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DAB6E3D4DD04986870F868E9101D2E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8915A94843C946FDB5EBF60E99ECBF8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F5F8AB96D7D49CE939124C81573032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Pages>
  <Words>2292</Words>
  <Characters>13065</Characters>
  <Lines>108</Lines>
  <Paragraphs>30</Paragraphs>
  <TotalTime>461</TotalTime>
  <ScaleCrop>false</ScaleCrop>
  <LinksUpToDate>false</LinksUpToDate>
  <CharactersWithSpaces>15327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2023-08-02T07:11:00Z</dcterms:created>
  <dc:creator>LI ZHAO</dc:creator>
  <dc:description>&lt;config cover="true" show_menu="true" version="1.0.0" doctype="SDKXY"&gt;_x000d_
&lt;/config&gt;</dc:description>
  <cp:lastModifiedBy>中国船东协会</cp:lastModifiedBy>
  <cp:lastPrinted>2021-02-02T08:22:00Z</cp:lastPrinted>
  <dcterms:modified xsi:type="dcterms:W3CDTF">2023-08-05T02:16:14Z</dcterms:modified>
  <dc:title>团体标准</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D20614A80E0A4CCA80C257AA9CD3EA40_13</vt:lpwstr>
  </property>
</Properties>
</file>