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9989CF" w14:textId="77777777" w:rsidR="00A2664F" w:rsidRDefault="00A2664F">
      <w:pPr>
        <w:adjustRightInd w:val="0"/>
        <w:snapToGrid w:val="0"/>
        <w:rPr>
          <w:rFonts w:eastAsia="仿宋_GB2312"/>
        </w:rPr>
      </w:pPr>
    </w:p>
    <w:p w14:paraId="6E487608" w14:textId="77777777" w:rsidR="00A2664F" w:rsidRDefault="00A2664F">
      <w:pPr>
        <w:adjustRightInd w:val="0"/>
        <w:snapToGrid w:val="0"/>
        <w:rPr>
          <w:rFonts w:eastAsia="仿宋_GB2312"/>
        </w:rPr>
      </w:pPr>
    </w:p>
    <w:p w14:paraId="6CE4F4B5" w14:textId="77777777" w:rsidR="00A2664F" w:rsidRDefault="00A2664F">
      <w:pPr>
        <w:adjustRightInd w:val="0"/>
        <w:snapToGrid w:val="0"/>
        <w:rPr>
          <w:rFonts w:eastAsia="仿宋_GB2312"/>
        </w:rPr>
      </w:pPr>
    </w:p>
    <w:p w14:paraId="268CC1DC" w14:textId="77777777" w:rsidR="00A2664F" w:rsidRDefault="00A2664F">
      <w:pPr>
        <w:adjustRightInd w:val="0"/>
        <w:snapToGrid w:val="0"/>
        <w:ind w:firstLine="960"/>
        <w:rPr>
          <w:rFonts w:eastAsia="仿宋_GB2312"/>
          <w:sz w:val="48"/>
          <w:szCs w:val="48"/>
        </w:rPr>
      </w:pPr>
    </w:p>
    <w:p w14:paraId="00F5E360" w14:textId="77777777" w:rsidR="00A2664F" w:rsidRDefault="00000000">
      <w:pPr>
        <w:adjustRightInd w:val="0"/>
        <w:snapToGrid w:val="0"/>
        <w:ind w:firstLineChars="0" w:firstLine="0"/>
        <w:jc w:val="center"/>
        <w:rPr>
          <w:rFonts w:eastAsia="黑体"/>
          <w:sz w:val="44"/>
          <w:szCs w:val="44"/>
        </w:rPr>
      </w:pPr>
      <w:bookmarkStart w:id="0" w:name="OLE_LINK6"/>
      <w:r>
        <w:rPr>
          <w:rFonts w:eastAsia="黑体"/>
          <w:sz w:val="44"/>
          <w:szCs w:val="44"/>
        </w:rPr>
        <w:t>船用燃料供应电子单证技术规范</w:t>
      </w:r>
    </w:p>
    <w:p w14:paraId="7420942B" w14:textId="77777777" w:rsidR="00A2664F" w:rsidRDefault="00000000">
      <w:pPr>
        <w:adjustRightInd w:val="0"/>
        <w:snapToGrid w:val="0"/>
        <w:ind w:firstLineChars="0" w:firstLine="0"/>
        <w:jc w:val="center"/>
        <w:rPr>
          <w:rFonts w:eastAsia="黑体"/>
          <w:sz w:val="44"/>
          <w:szCs w:val="44"/>
        </w:rPr>
      </w:pPr>
      <w:r>
        <w:rPr>
          <w:rFonts w:eastAsia="黑体" w:hint="eastAsia"/>
          <w:sz w:val="44"/>
          <w:szCs w:val="44"/>
        </w:rPr>
        <w:t>第</w:t>
      </w:r>
      <w:r>
        <w:rPr>
          <w:rFonts w:eastAsia="黑体" w:hint="eastAsia"/>
          <w:sz w:val="44"/>
          <w:szCs w:val="44"/>
        </w:rPr>
        <w:t>1</w:t>
      </w:r>
      <w:r>
        <w:rPr>
          <w:rFonts w:eastAsia="黑体" w:hint="eastAsia"/>
          <w:sz w:val="44"/>
          <w:szCs w:val="44"/>
        </w:rPr>
        <w:t>部分：通用要求</w:t>
      </w:r>
    </w:p>
    <w:p w14:paraId="20E11B9A" w14:textId="77777777" w:rsidR="00A2664F" w:rsidRDefault="00A2664F">
      <w:pPr>
        <w:adjustRightInd w:val="0"/>
        <w:snapToGrid w:val="0"/>
        <w:ind w:firstLineChars="0" w:firstLine="0"/>
        <w:jc w:val="center"/>
        <w:rPr>
          <w:rFonts w:eastAsia="黑体"/>
          <w:sz w:val="44"/>
          <w:szCs w:val="44"/>
        </w:rPr>
      </w:pPr>
    </w:p>
    <w:bookmarkEnd w:id="0"/>
    <w:p w14:paraId="76ECAA33" w14:textId="77777777" w:rsidR="00A2664F" w:rsidRDefault="00000000">
      <w:pPr>
        <w:adjustRightInd w:val="0"/>
        <w:snapToGrid w:val="0"/>
        <w:ind w:firstLineChars="0" w:firstLine="0"/>
        <w:jc w:val="center"/>
        <w:rPr>
          <w:rFonts w:eastAsia="黑体"/>
          <w:sz w:val="44"/>
          <w:szCs w:val="44"/>
        </w:rPr>
      </w:pPr>
      <w:r>
        <w:rPr>
          <w:rFonts w:eastAsia="黑体" w:hint="eastAsia"/>
          <w:sz w:val="44"/>
          <w:szCs w:val="44"/>
        </w:rPr>
        <w:t>（征求意见稿）</w:t>
      </w:r>
    </w:p>
    <w:p w14:paraId="704A5CC3" w14:textId="77777777" w:rsidR="00A2664F" w:rsidRDefault="00A2664F">
      <w:pPr>
        <w:adjustRightInd w:val="0"/>
        <w:snapToGrid w:val="0"/>
        <w:ind w:firstLineChars="0" w:firstLine="0"/>
        <w:jc w:val="center"/>
        <w:rPr>
          <w:rFonts w:eastAsia="黑体"/>
          <w:sz w:val="44"/>
          <w:szCs w:val="44"/>
        </w:rPr>
      </w:pPr>
    </w:p>
    <w:p w14:paraId="6FD596F4" w14:textId="77777777" w:rsidR="00A2664F" w:rsidRDefault="00000000">
      <w:pPr>
        <w:adjustRightInd w:val="0"/>
        <w:snapToGrid w:val="0"/>
        <w:ind w:firstLineChars="0" w:firstLine="0"/>
        <w:jc w:val="center"/>
        <w:rPr>
          <w:rFonts w:eastAsia="黑体"/>
          <w:sz w:val="44"/>
          <w:szCs w:val="44"/>
        </w:rPr>
      </w:pPr>
      <w:r>
        <w:rPr>
          <w:rFonts w:eastAsia="黑体"/>
          <w:sz w:val="44"/>
          <w:szCs w:val="44"/>
        </w:rPr>
        <w:t>编制说明</w:t>
      </w:r>
    </w:p>
    <w:p w14:paraId="700D010E" w14:textId="77777777" w:rsidR="00A2664F" w:rsidRDefault="00A2664F">
      <w:pPr>
        <w:adjustRightInd w:val="0"/>
        <w:snapToGrid w:val="0"/>
        <w:rPr>
          <w:rFonts w:eastAsia="仿宋_GB2312"/>
        </w:rPr>
      </w:pPr>
    </w:p>
    <w:p w14:paraId="3DEE5E03" w14:textId="77777777" w:rsidR="00A2664F" w:rsidRDefault="00A2664F">
      <w:pPr>
        <w:adjustRightInd w:val="0"/>
        <w:snapToGrid w:val="0"/>
        <w:rPr>
          <w:rFonts w:eastAsia="仿宋_GB2312"/>
        </w:rPr>
      </w:pPr>
    </w:p>
    <w:p w14:paraId="7C997087" w14:textId="77777777" w:rsidR="00A2664F" w:rsidRDefault="00A2664F">
      <w:pPr>
        <w:adjustRightInd w:val="0"/>
        <w:snapToGrid w:val="0"/>
        <w:rPr>
          <w:rFonts w:eastAsia="仿宋_GB2312"/>
        </w:rPr>
      </w:pPr>
    </w:p>
    <w:p w14:paraId="257EEA46" w14:textId="77777777" w:rsidR="00A2664F" w:rsidRDefault="00A2664F">
      <w:pPr>
        <w:adjustRightInd w:val="0"/>
        <w:snapToGrid w:val="0"/>
        <w:rPr>
          <w:rFonts w:eastAsia="仿宋_GB2312"/>
        </w:rPr>
      </w:pPr>
    </w:p>
    <w:p w14:paraId="10EE4365" w14:textId="77777777" w:rsidR="00A2664F" w:rsidRDefault="00A2664F">
      <w:pPr>
        <w:adjustRightInd w:val="0"/>
        <w:snapToGrid w:val="0"/>
        <w:rPr>
          <w:rFonts w:eastAsia="仿宋_GB2312"/>
        </w:rPr>
      </w:pPr>
    </w:p>
    <w:p w14:paraId="1F9C2381" w14:textId="77777777" w:rsidR="00A2664F" w:rsidRDefault="00A2664F">
      <w:pPr>
        <w:adjustRightInd w:val="0"/>
        <w:snapToGrid w:val="0"/>
        <w:rPr>
          <w:rFonts w:eastAsia="仿宋_GB2312"/>
        </w:rPr>
      </w:pPr>
    </w:p>
    <w:p w14:paraId="440ACCFA" w14:textId="77777777" w:rsidR="00A2664F" w:rsidRDefault="00A2664F">
      <w:pPr>
        <w:adjustRightInd w:val="0"/>
        <w:snapToGrid w:val="0"/>
        <w:rPr>
          <w:rFonts w:eastAsia="仿宋_GB2312"/>
        </w:rPr>
      </w:pPr>
    </w:p>
    <w:p w14:paraId="6D6666BD" w14:textId="77777777" w:rsidR="00A2664F" w:rsidRDefault="00A2664F">
      <w:pPr>
        <w:adjustRightInd w:val="0"/>
        <w:snapToGrid w:val="0"/>
        <w:rPr>
          <w:rFonts w:eastAsia="仿宋_GB2312"/>
        </w:rPr>
      </w:pPr>
    </w:p>
    <w:p w14:paraId="0C804B49" w14:textId="77777777" w:rsidR="00A2664F" w:rsidRDefault="00000000">
      <w:pPr>
        <w:adjustRightInd w:val="0"/>
        <w:snapToGrid w:val="0"/>
        <w:ind w:firstLineChars="0" w:firstLine="0"/>
        <w:jc w:val="center"/>
        <w:rPr>
          <w:rFonts w:eastAsia="宋体"/>
          <w:b/>
          <w:bCs/>
          <w:sz w:val="36"/>
          <w:szCs w:val="36"/>
        </w:rPr>
      </w:pPr>
      <w:r>
        <w:rPr>
          <w:rFonts w:eastAsia="宋体" w:hint="eastAsia"/>
          <w:b/>
          <w:bCs/>
        </w:rPr>
        <w:t>标准编制组</w:t>
      </w:r>
    </w:p>
    <w:p w14:paraId="30D4F547" w14:textId="77777777" w:rsidR="00A2664F" w:rsidRDefault="00000000">
      <w:pPr>
        <w:adjustRightInd w:val="0"/>
        <w:snapToGrid w:val="0"/>
        <w:ind w:firstLineChars="0" w:firstLine="0"/>
        <w:jc w:val="center"/>
        <w:rPr>
          <w:rFonts w:eastAsia="宋体"/>
          <w:b/>
          <w:bCs/>
        </w:rPr>
      </w:pPr>
      <w:r>
        <w:rPr>
          <w:rFonts w:eastAsia="宋体"/>
          <w:b/>
          <w:bCs/>
        </w:rPr>
        <w:t>202</w:t>
      </w:r>
      <w:r>
        <w:rPr>
          <w:rFonts w:eastAsia="宋体" w:hint="eastAsia"/>
          <w:b/>
          <w:bCs/>
        </w:rPr>
        <w:t>6</w:t>
      </w:r>
      <w:r>
        <w:rPr>
          <w:rFonts w:eastAsia="宋体"/>
          <w:b/>
          <w:bCs/>
        </w:rPr>
        <w:t>年</w:t>
      </w:r>
      <w:r>
        <w:rPr>
          <w:rFonts w:eastAsia="宋体" w:hint="eastAsia"/>
          <w:b/>
          <w:bCs/>
        </w:rPr>
        <w:t>9</w:t>
      </w:r>
      <w:r>
        <w:rPr>
          <w:rFonts w:eastAsia="宋体"/>
          <w:b/>
          <w:bCs/>
        </w:rPr>
        <w:t>月</w:t>
      </w:r>
    </w:p>
    <w:p w14:paraId="74D282C0" w14:textId="77777777" w:rsidR="00A2664F" w:rsidRDefault="00A2664F">
      <w:pPr>
        <w:adjustRightInd w:val="0"/>
        <w:snapToGrid w:val="0"/>
        <w:rPr>
          <w:rFonts w:eastAsia="仿宋_GB2312"/>
        </w:rPr>
      </w:pPr>
    </w:p>
    <w:p w14:paraId="4AEEF769" w14:textId="77777777" w:rsidR="00A2664F" w:rsidRDefault="00A2664F">
      <w:pPr>
        <w:adjustRightInd w:val="0"/>
        <w:snapToGrid w:val="0"/>
        <w:rPr>
          <w:rFonts w:eastAsia="仿宋_GB2312"/>
        </w:rPr>
        <w:sectPr w:rsidR="00A2664F">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851" w:footer="992" w:gutter="0"/>
          <w:cols w:space="720"/>
          <w:docGrid w:type="lines" w:linePitch="312"/>
        </w:sectPr>
      </w:pPr>
    </w:p>
    <w:sdt>
      <w:sdtPr>
        <w:rPr>
          <w:rFonts w:eastAsia="仿宋_GB2312"/>
        </w:rPr>
        <w:id w:val="147460473"/>
        <w15:color w:val="DBDBDB"/>
        <w:docPartObj>
          <w:docPartGallery w:val="Table of Contents"/>
          <w:docPartUnique/>
        </w:docPartObj>
      </w:sdtPr>
      <w:sdtContent>
        <w:p w14:paraId="4C965421" w14:textId="77777777" w:rsidR="00A2664F" w:rsidRDefault="00000000">
          <w:pPr>
            <w:adjustRightInd w:val="0"/>
            <w:snapToGrid w:val="0"/>
            <w:ind w:firstLineChars="0" w:firstLine="0"/>
            <w:jc w:val="center"/>
            <w:outlineLvl w:val="0"/>
            <w:rPr>
              <w:rFonts w:eastAsia="黑体"/>
              <w:sz w:val="40"/>
              <w:szCs w:val="40"/>
            </w:rPr>
          </w:pPr>
          <w:proofErr w:type="gramStart"/>
          <w:r>
            <w:rPr>
              <w:rFonts w:eastAsia="黑体"/>
              <w:sz w:val="40"/>
              <w:szCs w:val="40"/>
            </w:rPr>
            <w:t>目</w:t>
          </w:r>
          <w:r>
            <w:rPr>
              <w:rFonts w:eastAsia="黑体" w:hint="eastAsia"/>
              <w:sz w:val="40"/>
              <w:szCs w:val="40"/>
            </w:rPr>
            <w:t xml:space="preserve">  </w:t>
          </w:r>
          <w:r>
            <w:rPr>
              <w:rFonts w:eastAsia="黑体"/>
              <w:sz w:val="40"/>
              <w:szCs w:val="40"/>
            </w:rPr>
            <w:t>录</w:t>
          </w:r>
          <w:proofErr w:type="gramEnd"/>
        </w:p>
        <w:p w14:paraId="3E265FCA" w14:textId="77777777" w:rsidR="00A2664F" w:rsidRDefault="00000000">
          <w:pPr>
            <w:pStyle w:val="TOC1"/>
            <w:tabs>
              <w:tab w:val="right" w:leader="dot" w:pos="8296"/>
            </w:tabs>
            <w:adjustRightInd w:val="0"/>
            <w:snapToGrid w:val="0"/>
            <w:ind w:firstLineChars="0" w:firstLine="0"/>
            <w:jc w:val="left"/>
            <w:rPr>
              <w:rFonts w:eastAsia="宋体" w:cstheme="minorBidi"/>
              <w:sz w:val="22"/>
              <w:szCs w:val="24"/>
            </w:rPr>
          </w:pPr>
          <w:r>
            <w:rPr>
              <w:rFonts w:eastAsia="仿宋_GB2312"/>
              <w:b/>
              <w:bCs/>
              <w:sz w:val="48"/>
              <w:szCs w:val="48"/>
            </w:rPr>
            <w:fldChar w:fldCharType="begin"/>
          </w:r>
          <w:r>
            <w:rPr>
              <w:rFonts w:eastAsia="仿宋_GB2312"/>
              <w:b/>
              <w:bCs/>
              <w:sz w:val="48"/>
              <w:szCs w:val="48"/>
            </w:rPr>
            <w:instrText xml:space="preserve">TOC \o "1-2" \h \u </w:instrText>
          </w:r>
          <w:r>
            <w:rPr>
              <w:rFonts w:eastAsia="仿宋_GB2312"/>
              <w:b/>
              <w:bCs/>
              <w:sz w:val="48"/>
              <w:szCs w:val="48"/>
            </w:rPr>
            <w:fldChar w:fldCharType="separate"/>
          </w:r>
          <w:hyperlink w:anchor="_Toc215734335" w:history="1">
            <w:r w:rsidR="00A2664F">
              <w:rPr>
                <w:rStyle w:val="af9"/>
                <w:rFonts w:eastAsia="宋体" w:hint="eastAsia"/>
              </w:rPr>
              <w:t>一、工作简况</w:t>
            </w:r>
            <w:r w:rsidR="00A2664F">
              <w:rPr>
                <w:rFonts w:eastAsia="宋体" w:hint="eastAsia"/>
              </w:rPr>
              <w:tab/>
            </w:r>
            <w:r w:rsidR="00A2664F">
              <w:rPr>
                <w:rFonts w:eastAsia="宋体" w:hint="eastAsia"/>
              </w:rPr>
              <w:fldChar w:fldCharType="begin"/>
            </w:r>
            <w:r w:rsidR="00A2664F">
              <w:rPr>
                <w:rFonts w:eastAsia="宋体" w:hint="eastAsia"/>
              </w:rPr>
              <w:instrText xml:space="preserve"> </w:instrText>
            </w:r>
            <w:r w:rsidR="00A2664F">
              <w:rPr>
                <w:rFonts w:eastAsia="宋体"/>
              </w:rPr>
              <w:instrText>PAGEREF _Toc215734335 \h</w:instrText>
            </w:r>
            <w:r w:rsidR="00A2664F">
              <w:rPr>
                <w:rFonts w:eastAsia="宋体" w:hint="eastAsia"/>
              </w:rPr>
              <w:instrText xml:space="preserve"> </w:instrText>
            </w:r>
            <w:r w:rsidR="00A2664F">
              <w:rPr>
                <w:rFonts w:eastAsia="宋体" w:hint="eastAsia"/>
              </w:rPr>
            </w:r>
            <w:r w:rsidR="00A2664F">
              <w:rPr>
                <w:rFonts w:eastAsia="宋体" w:hint="eastAsia"/>
              </w:rPr>
              <w:fldChar w:fldCharType="separate"/>
            </w:r>
            <w:r w:rsidR="00A2664F">
              <w:rPr>
                <w:rFonts w:eastAsia="宋体"/>
              </w:rPr>
              <w:t>1</w:t>
            </w:r>
            <w:r w:rsidR="00A2664F">
              <w:rPr>
                <w:rFonts w:eastAsia="宋体" w:hint="eastAsia"/>
              </w:rPr>
              <w:fldChar w:fldCharType="end"/>
            </w:r>
          </w:hyperlink>
        </w:p>
        <w:p w14:paraId="61358E24" w14:textId="77777777" w:rsidR="00A2664F" w:rsidRDefault="00A2664F">
          <w:pPr>
            <w:pStyle w:val="TOC2"/>
            <w:tabs>
              <w:tab w:val="right" w:leader="dot" w:pos="8296"/>
            </w:tabs>
            <w:adjustRightInd w:val="0"/>
            <w:snapToGrid w:val="0"/>
            <w:ind w:leftChars="0" w:left="0" w:firstLineChars="100" w:firstLine="320"/>
            <w:jc w:val="left"/>
            <w:rPr>
              <w:rFonts w:eastAsia="宋体" w:cstheme="minorBidi"/>
              <w:sz w:val="22"/>
              <w:szCs w:val="24"/>
            </w:rPr>
          </w:pPr>
          <w:hyperlink w:anchor="_Toc215734336" w:history="1">
            <w:r>
              <w:rPr>
                <w:rStyle w:val="af9"/>
                <w:rFonts w:eastAsia="宋体" w:hint="eastAsia"/>
              </w:rPr>
              <w:t>（一）任务来源</w:t>
            </w:r>
            <w:r>
              <w:rPr>
                <w:rFonts w:eastAsia="宋体" w:hint="eastAsia"/>
              </w:rPr>
              <w:tab/>
            </w:r>
            <w:r>
              <w:rPr>
                <w:rFonts w:eastAsia="宋体" w:hint="eastAsia"/>
              </w:rPr>
              <w:fldChar w:fldCharType="begin"/>
            </w:r>
            <w:r>
              <w:rPr>
                <w:rFonts w:eastAsia="宋体" w:hint="eastAsia"/>
              </w:rPr>
              <w:instrText xml:space="preserve"> </w:instrText>
            </w:r>
            <w:r>
              <w:rPr>
                <w:rFonts w:eastAsia="宋体"/>
              </w:rPr>
              <w:instrText>PAGEREF _Toc215734336 \h</w:instrText>
            </w:r>
            <w:r>
              <w:rPr>
                <w:rFonts w:eastAsia="宋体" w:hint="eastAsia"/>
              </w:rPr>
              <w:instrText xml:space="preserve"> </w:instrText>
            </w:r>
            <w:r>
              <w:rPr>
                <w:rFonts w:eastAsia="宋体" w:hint="eastAsia"/>
              </w:rPr>
            </w:r>
            <w:r>
              <w:rPr>
                <w:rFonts w:eastAsia="宋体" w:hint="eastAsia"/>
              </w:rPr>
              <w:fldChar w:fldCharType="separate"/>
            </w:r>
            <w:r>
              <w:rPr>
                <w:rFonts w:eastAsia="宋体"/>
              </w:rPr>
              <w:t>1</w:t>
            </w:r>
            <w:r>
              <w:rPr>
                <w:rFonts w:eastAsia="宋体" w:hint="eastAsia"/>
              </w:rPr>
              <w:fldChar w:fldCharType="end"/>
            </w:r>
          </w:hyperlink>
        </w:p>
        <w:p w14:paraId="5E9AD909" w14:textId="77777777" w:rsidR="00A2664F" w:rsidRDefault="00A2664F">
          <w:pPr>
            <w:pStyle w:val="TOC2"/>
            <w:tabs>
              <w:tab w:val="right" w:leader="dot" w:pos="8296"/>
            </w:tabs>
            <w:adjustRightInd w:val="0"/>
            <w:snapToGrid w:val="0"/>
            <w:ind w:leftChars="0" w:left="0" w:firstLineChars="100" w:firstLine="320"/>
            <w:jc w:val="left"/>
            <w:rPr>
              <w:rFonts w:eastAsia="宋体" w:cstheme="minorBidi"/>
              <w:sz w:val="22"/>
              <w:szCs w:val="24"/>
            </w:rPr>
          </w:pPr>
          <w:hyperlink w:anchor="_Toc215734337" w:history="1">
            <w:r>
              <w:rPr>
                <w:rStyle w:val="af9"/>
                <w:rFonts w:eastAsia="宋体" w:hint="eastAsia"/>
              </w:rPr>
              <w:t>（二）制定背景</w:t>
            </w:r>
            <w:r>
              <w:rPr>
                <w:rFonts w:eastAsia="宋体" w:hint="eastAsia"/>
              </w:rPr>
              <w:tab/>
            </w:r>
            <w:r>
              <w:rPr>
                <w:rFonts w:eastAsia="宋体" w:hint="eastAsia"/>
              </w:rPr>
              <w:fldChar w:fldCharType="begin"/>
            </w:r>
            <w:r>
              <w:rPr>
                <w:rFonts w:eastAsia="宋体" w:hint="eastAsia"/>
              </w:rPr>
              <w:instrText xml:space="preserve"> </w:instrText>
            </w:r>
            <w:r>
              <w:rPr>
                <w:rFonts w:eastAsia="宋体"/>
              </w:rPr>
              <w:instrText>PAGEREF _Toc215734337 \h</w:instrText>
            </w:r>
            <w:r>
              <w:rPr>
                <w:rFonts w:eastAsia="宋体" w:hint="eastAsia"/>
              </w:rPr>
              <w:instrText xml:space="preserve"> </w:instrText>
            </w:r>
            <w:r>
              <w:rPr>
                <w:rFonts w:eastAsia="宋体" w:hint="eastAsia"/>
              </w:rPr>
            </w:r>
            <w:r>
              <w:rPr>
                <w:rFonts w:eastAsia="宋体" w:hint="eastAsia"/>
              </w:rPr>
              <w:fldChar w:fldCharType="separate"/>
            </w:r>
            <w:r>
              <w:rPr>
                <w:rFonts w:eastAsia="宋体"/>
              </w:rPr>
              <w:t>2</w:t>
            </w:r>
            <w:r>
              <w:rPr>
                <w:rFonts w:eastAsia="宋体" w:hint="eastAsia"/>
              </w:rPr>
              <w:fldChar w:fldCharType="end"/>
            </w:r>
          </w:hyperlink>
        </w:p>
        <w:p w14:paraId="758525ED" w14:textId="77777777" w:rsidR="00A2664F" w:rsidRDefault="00A2664F">
          <w:pPr>
            <w:pStyle w:val="TOC2"/>
            <w:tabs>
              <w:tab w:val="right" w:leader="dot" w:pos="8296"/>
            </w:tabs>
            <w:adjustRightInd w:val="0"/>
            <w:snapToGrid w:val="0"/>
            <w:ind w:leftChars="0" w:left="0" w:firstLineChars="100" w:firstLine="320"/>
            <w:jc w:val="left"/>
            <w:rPr>
              <w:rFonts w:eastAsia="宋体" w:cstheme="minorBidi"/>
              <w:sz w:val="22"/>
              <w:szCs w:val="24"/>
            </w:rPr>
          </w:pPr>
          <w:hyperlink w:anchor="_Toc215734338" w:history="1">
            <w:r>
              <w:rPr>
                <w:rStyle w:val="af9"/>
                <w:rFonts w:eastAsia="宋体" w:hint="eastAsia"/>
              </w:rPr>
              <w:t>（三）起草过程</w:t>
            </w:r>
            <w:r>
              <w:rPr>
                <w:rFonts w:eastAsia="宋体" w:hint="eastAsia"/>
              </w:rPr>
              <w:tab/>
            </w:r>
            <w:r>
              <w:rPr>
                <w:rFonts w:eastAsia="宋体" w:hint="eastAsia"/>
              </w:rPr>
              <w:fldChar w:fldCharType="begin"/>
            </w:r>
            <w:r>
              <w:rPr>
                <w:rFonts w:eastAsia="宋体" w:hint="eastAsia"/>
              </w:rPr>
              <w:instrText xml:space="preserve"> </w:instrText>
            </w:r>
            <w:r>
              <w:rPr>
                <w:rFonts w:eastAsia="宋体"/>
              </w:rPr>
              <w:instrText>PAGEREF _Toc215734338 \h</w:instrText>
            </w:r>
            <w:r>
              <w:rPr>
                <w:rFonts w:eastAsia="宋体" w:hint="eastAsia"/>
              </w:rPr>
              <w:instrText xml:space="preserve"> </w:instrText>
            </w:r>
            <w:r>
              <w:rPr>
                <w:rFonts w:eastAsia="宋体" w:hint="eastAsia"/>
              </w:rPr>
            </w:r>
            <w:r>
              <w:rPr>
                <w:rFonts w:eastAsia="宋体" w:hint="eastAsia"/>
              </w:rPr>
              <w:fldChar w:fldCharType="separate"/>
            </w:r>
            <w:r>
              <w:rPr>
                <w:rFonts w:eastAsia="宋体"/>
              </w:rPr>
              <w:t>4</w:t>
            </w:r>
            <w:r>
              <w:rPr>
                <w:rFonts w:eastAsia="宋体" w:hint="eastAsia"/>
              </w:rPr>
              <w:fldChar w:fldCharType="end"/>
            </w:r>
          </w:hyperlink>
        </w:p>
        <w:p w14:paraId="100CF860" w14:textId="77777777" w:rsidR="00A2664F" w:rsidRDefault="00A2664F">
          <w:pPr>
            <w:pStyle w:val="TOC1"/>
            <w:tabs>
              <w:tab w:val="right" w:leader="dot" w:pos="8296"/>
            </w:tabs>
            <w:adjustRightInd w:val="0"/>
            <w:snapToGrid w:val="0"/>
            <w:ind w:firstLineChars="0" w:firstLine="0"/>
            <w:jc w:val="left"/>
            <w:rPr>
              <w:rFonts w:eastAsia="宋体" w:cstheme="minorBidi"/>
              <w:sz w:val="22"/>
              <w:szCs w:val="24"/>
            </w:rPr>
          </w:pPr>
          <w:hyperlink w:anchor="_Toc215734339" w:history="1">
            <w:r>
              <w:rPr>
                <w:rStyle w:val="af9"/>
                <w:rFonts w:eastAsia="宋体" w:hint="eastAsia"/>
              </w:rPr>
              <w:t>二、标准编制原则、主要内容及其确定依据</w:t>
            </w:r>
            <w:r>
              <w:rPr>
                <w:rFonts w:eastAsia="宋体" w:hint="eastAsia"/>
              </w:rPr>
              <w:tab/>
            </w:r>
            <w:r>
              <w:rPr>
                <w:rFonts w:eastAsia="宋体" w:hint="eastAsia"/>
              </w:rPr>
              <w:fldChar w:fldCharType="begin"/>
            </w:r>
            <w:r>
              <w:rPr>
                <w:rFonts w:eastAsia="宋体" w:hint="eastAsia"/>
              </w:rPr>
              <w:instrText xml:space="preserve"> </w:instrText>
            </w:r>
            <w:r>
              <w:rPr>
                <w:rFonts w:eastAsia="宋体"/>
              </w:rPr>
              <w:instrText>PAGEREF _Toc215734339 \h</w:instrText>
            </w:r>
            <w:r>
              <w:rPr>
                <w:rFonts w:eastAsia="宋体" w:hint="eastAsia"/>
              </w:rPr>
              <w:instrText xml:space="preserve"> </w:instrText>
            </w:r>
            <w:r>
              <w:rPr>
                <w:rFonts w:eastAsia="宋体" w:hint="eastAsia"/>
              </w:rPr>
            </w:r>
            <w:r>
              <w:rPr>
                <w:rFonts w:eastAsia="宋体" w:hint="eastAsia"/>
              </w:rPr>
              <w:fldChar w:fldCharType="separate"/>
            </w:r>
            <w:r>
              <w:rPr>
                <w:rFonts w:eastAsia="宋体"/>
              </w:rPr>
              <w:t>4</w:t>
            </w:r>
            <w:r>
              <w:rPr>
                <w:rFonts w:eastAsia="宋体" w:hint="eastAsia"/>
              </w:rPr>
              <w:fldChar w:fldCharType="end"/>
            </w:r>
          </w:hyperlink>
        </w:p>
        <w:p w14:paraId="5CA13757" w14:textId="77777777" w:rsidR="00A2664F" w:rsidRDefault="00A2664F">
          <w:pPr>
            <w:pStyle w:val="TOC2"/>
            <w:tabs>
              <w:tab w:val="right" w:leader="dot" w:pos="8296"/>
            </w:tabs>
            <w:adjustRightInd w:val="0"/>
            <w:snapToGrid w:val="0"/>
            <w:ind w:leftChars="0" w:left="0" w:firstLineChars="100" w:firstLine="320"/>
            <w:jc w:val="left"/>
            <w:rPr>
              <w:rFonts w:eastAsia="宋体" w:cstheme="minorBidi"/>
              <w:sz w:val="22"/>
              <w:szCs w:val="24"/>
            </w:rPr>
          </w:pPr>
          <w:hyperlink w:anchor="_Toc215734340" w:history="1">
            <w:r>
              <w:rPr>
                <w:rStyle w:val="af9"/>
                <w:rFonts w:eastAsia="宋体" w:hint="eastAsia"/>
              </w:rPr>
              <w:t>（一）标准编制原则</w:t>
            </w:r>
            <w:r>
              <w:rPr>
                <w:rFonts w:eastAsia="宋体" w:hint="eastAsia"/>
              </w:rPr>
              <w:tab/>
            </w:r>
            <w:r>
              <w:rPr>
                <w:rFonts w:eastAsia="宋体" w:hint="eastAsia"/>
              </w:rPr>
              <w:fldChar w:fldCharType="begin"/>
            </w:r>
            <w:r>
              <w:rPr>
                <w:rFonts w:eastAsia="宋体" w:hint="eastAsia"/>
              </w:rPr>
              <w:instrText xml:space="preserve"> </w:instrText>
            </w:r>
            <w:r>
              <w:rPr>
                <w:rFonts w:eastAsia="宋体"/>
              </w:rPr>
              <w:instrText>PAGEREF _Toc215734340 \h</w:instrText>
            </w:r>
            <w:r>
              <w:rPr>
                <w:rFonts w:eastAsia="宋体" w:hint="eastAsia"/>
              </w:rPr>
              <w:instrText xml:space="preserve"> </w:instrText>
            </w:r>
            <w:r>
              <w:rPr>
                <w:rFonts w:eastAsia="宋体" w:hint="eastAsia"/>
              </w:rPr>
            </w:r>
            <w:r>
              <w:rPr>
                <w:rFonts w:eastAsia="宋体" w:hint="eastAsia"/>
              </w:rPr>
              <w:fldChar w:fldCharType="separate"/>
            </w:r>
            <w:r>
              <w:rPr>
                <w:rFonts w:eastAsia="宋体"/>
              </w:rPr>
              <w:t>6</w:t>
            </w:r>
            <w:r>
              <w:rPr>
                <w:rFonts w:eastAsia="宋体" w:hint="eastAsia"/>
              </w:rPr>
              <w:fldChar w:fldCharType="end"/>
            </w:r>
          </w:hyperlink>
        </w:p>
        <w:p w14:paraId="2FD4F4D9" w14:textId="77777777" w:rsidR="00A2664F" w:rsidRDefault="00A2664F">
          <w:pPr>
            <w:pStyle w:val="TOC2"/>
            <w:tabs>
              <w:tab w:val="left" w:pos="2260"/>
              <w:tab w:val="right" w:leader="dot" w:pos="8296"/>
            </w:tabs>
            <w:adjustRightInd w:val="0"/>
            <w:snapToGrid w:val="0"/>
            <w:ind w:leftChars="0" w:left="0" w:firstLineChars="100" w:firstLine="320"/>
            <w:jc w:val="left"/>
            <w:rPr>
              <w:rFonts w:eastAsia="宋体" w:cstheme="minorBidi"/>
              <w:sz w:val="22"/>
              <w:szCs w:val="24"/>
            </w:rPr>
          </w:pPr>
          <w:hyperlink w:anchor="_Toc215734341" w:history="1">
            <w:r>
              <w:rPr>
                <w:rStyle w:val="af9"/>
                <w:rFonts w:eastAsia="宋体" w:hint="eastAsia"/>
              </w:rPr>
              <w:t>（二）主要技术内容及确定依据</w:t>
            </w:r>
            <w:r>
              <w:rPr>
                <w:rFonts w:eastAsia="宋体" w:hint="eastAsia"/>
              </w:rPr>
              <w:tab/>
            </w:r>
            <w:r>
              <w:rPr>
                <w:rFonts w:eastAsia="宋体" w:hint="eastAsia"/>
              </w:rPr>
              <w:fldChar w:fldCharType="begin"/>
            </w:r>
            <w:r>
              <w:rPr>
                <w:rFonts w:eastAsia="宋体" w:hint="eastAsia"/>
              </w:rPr>
              <w:instrText xml:space="preserve"> </w:instrText>
            </w:r>
            <w:r>
              <w:rPr>
                <w:rFonts w:eastAsia="宋体"/>
              </w:rPr>
              <w:instrText>PAGEREF _Toc215734341 \h</w:instrText>
            </w:r>
            <w:r>
              <w:rPr>
                <w:rFonts w:eastAsia="宋体" w:hint="eastAsia"/>
              </w:rPr>
              <w:instrText xml:space="preserve"> </w:instrText>
            </w:r>
            <w:r>
              <w:rPr>
                <w:rFonts w:eastAsia="宋体" w:hint="eastAsia"/>
              </w:rPr>
            </w:r>
            <w:r>
              <w:rPr>
                <w:rFonts w:eastAsia="宋体" w:hint="eastAsia"/>
              </w:rPr>
              <w:fldChar w:fldCharType="separate"/>
            </w:r>
            <w:r>
              <w:rPr>
                <w:rFonts w:eastAsia="宋体"/>
              </w:rPr>
              <w:t>7</w:t>
            </w:r>
            <w:r>
              <w:rPr>
                <w:rFonts w:eastAsia="宋体" w:hint="eastAsia"/>
              </w:rPr>
              <w:fldChar w:fldCharType="end"/>
            </w:r>
          </w:hyperlink>
        </w:p>
        <w:p w14:paraId="17C2066C" w14:textId="77777777" w:rsidR="00A2664F" w:rsidRDefault="00A2664F">
          <w:pPr>
            <w:pStyle w:val="TOC1"/>
            <w:tabs>
              <w:tab w:val="right" w:leader="dot" w:pos="8296"/>
            </w:tabs>
            <w:adjustRightInd w:val="0"/>
            <w:snapToGrid w:val="0"/>
            <w:ind w:firstLineChars="0" w:firstLine="0"/>
            <w:rPr>
              <w:rFonts w:eastAsia="宋体" w:cstheme="minorBidi"/>
              <w:sz w:val="22"/>
              <w:szCs w:val="24"/>
            </w:rPr>
          </w:pPr>
          <w:hyperlink w:anchor="_Toc215734352" w:history="1">
            <w:r>
              <w:rPr>
                <w:rStyle w:val="af9"/>
                <w:rFonts w:eastAsia="宋体" w:hint="eastAsia"/>
              </w:rPr>
              <w:t>三、试验验证的分析、综述报告，技术经济论证，预期的经济效益、社会效益和生态效益</w:t>
            </w:r>
            <w:r>
              <w:rPr>
                <w:rFonts w:eastAsia="宋体" w:hint="eastAsia"/>
              </w:rPr>
              <w:tab/>
            </w:r>
            <w:r>
              <w:rPr>
                <w:rFonts w:eastAsia="宋体" w:hint="eastAsia"/>
              </w:rPr>
              <w:fldChar w:fldCharType="begin"/>
            </w:r>
            <w:r>
              <w:rPr>
                <w:rFonts w:eastAsia="宋体" w:hint="eastAsia"/>
              </w:rPr>
              <w:instrText xml:space="preserve"> </w:instrText>
            </w:r>
            <w:r>
              <w:rPr>
                <w:rFonts w:eastAsia="宋体"/>
              </w:rPr>
              <w:instrText>PAGEREF _Toc215734352 \h</w:instrText>
            </w:r>
            <w:r>
              <w:rPr>
                <w:rFonts w:eastAsia="宋体" w:hint="eastAsia"/>
              </w:rPr>
              <w:instrText xml:space="preserve"> </w:instrText>
            </w:r>
            <w:r>
              <w:rPr>
                <w:rFonts w:eastAsia="宋体" w:hint="eastAsia"/>
              </w:rPr>
            </w:r>
            <w:r>
              <w:rPr>
                <w:rFonts w:eastAsia="宋体" w:hint="eastAsia"/>
              </w:rPr>
              <w:fldChar w:fldCharType="separate"/>
            </w:r>
            <w:r>
              <w:rPr>
                <w:rFonts w:eastAsia="宋体"/>
              </w:rPr>
              <w:t>13</w:t>
            </w:r>
            <w:r>
              <w:rPr>
                <w:rFonts w:eastAsia="宋体" w:hint="eastAsia"/>
              </w:rPr>
              <w:fldChar w:fldCharType="end"/>
            </w:r>
          </w:hyperlink>
        </w:p>
        <w:p w14:paraId="097D0BB2" w14:textId="77777777" w:rsidR="00A2664F" w:rsidRDefault="00A2664F">
          <w:pPr>
            <w:pStyle w:val="TOC1"/>
            <w:tabs>
              <w:tab w:val="right" w:leader="dot" w:pos="8296"/>
            </w:tabs>
            <w:adjustRightInd w:val="0"/>
            <w:snapToGrid w:val="0"/>
            <w:ind w:firstLineChars="0" w:firstLine="0"/>
            <w:jc w:val="left"/>
            <w:rPr>
              <w:rFonts w:eastAsia="宋体" w:cstheme="minorBidi"/>
              <w:sz w:val="22"/>
              <w:szCs w:val="24"/>
            </w:rPr>
          </w:pPr>
          <w:hyperlink w:anchor="_Toc215734353" w:history="1">
            <w:r>
              <w:rPr>
                <w:rStyle w:val="af9"/>
                <w:rFonts w:eastAsia="宋体" w:hint="eastAsia"/>
              </w:rPr>
              <w:t>四、与国际、国外同类标准技术内容的对比情况</w:t>
            </w:r>
            <w:r>
              <w:rPr>
                <w:rFonts w:eastAsia="宋体" w:hint="eastAsia"/>
              </w:rPr>
              <w:tab/>
            </w:r>
            <w:r>
              <w:rPr>
                <w:rFonts w:eastAsia="宋体" w:hint="eastAsia"/>
              </w:rPr>
              <w:fldChar w:fldCharType="begin"/>
            </w:r>
            <w:r>
              <w:rPr>
                <w:rFonts w:eastAsia="宋体" w:hint="eastAsia"/>
              </w:rPr>
              <w:instrText xml:space="preserve"> </w:instrText>
            </w:r>
            <w:r>
              <w:rPr>
                <w:rFonts w:eastAsia="宋体"/>
              </w:rPr>
              <w:instrText>PAGEREF _Toc215734353 \h</w:instrText>
            </w:r>
            <w:r>
              <w:rPr>
                <w:rFonts w:eastAsia="宋体" w:hint="eastAsia"/>
              </w:rPr>
              <w:instrText xml:space="preserve"> </w:instrText>
            </w:r>
            <w:r>
              <w:rPr>
                <w:rFonts w:eastAsia="宋体" w:hint="eastAsia"/>
              </w:rPr>
            </w:r>
            <w:r>
              <w:rPr>
                <w:rFonts w:eastAsia="宋体" w:hint="eastAsia"/>
              </w:rPr>
              <w:fldChar w:fldCharType="separate"/>
            </w:r>
            <w:r>
              <w:rPr>
                <w:rFonts w:eastAsia="宋体"/>
              </w:rPr>
              <w:t>16</w:t>
            </w:r>
            <w:r>
              <w:rPr>
                <w:rFonts w:eastAsia="宋体" w:hint="eastAsia"/>
              </w:rPr>
              <w:fldChar w:fldCharType="end"/>
            </w:r>
          </w:hyperlink>
        </w:p>
        <w:p w14:paraId="1D365075" w14:textId="77777777" w:rsidR="00A2664F" w:rsidRDefault="00A2664F">
          <w:pPr>
            <w:pStyle w:val="TOC1"/>
            <w:tabs>
              <w:tab w:val="right" w:leader="dot" w:pos="8296"/>
            </w:tabs>
            <w:adjustRightInd w:val="0"/>
            <w:snapToGrid w:val="0"/>
            <w:ind w:firstLineChars="0" w:firstLine="0"/>
            <w:rPr>
              <w:rFonts w:eastAsia="宋体" w:cstheme="minorBidi"/>
              <w:sz w:val="22"/>
              <w:szCs w:val="24"/>
            </w:rPr>
          </w:pPr>
          <w:hyperlink w:anchor="_Toc215734354" w:history="1">
            <w:r>
              <w:rPr>
                <w:rStyle w:val="af9"/>
                <w:rFonts w:eastAsia="宋体" w:hint="eastAsia"/>
              </w:rPr>
              <w:t>五、以国际标准为基础的起草情况，以及是否合规引用或者采用国际国外标准，并说明未采用国际标准的原因</w:t>
            </w:r>
            <w:r>
              <w:rPr>
                <w:rFonts w:eastAsia="宋体" w:hint="eastAsia"/>
              </w:rPr>
              <w:tab/>
            </w:r>
            <w:r>
              <w:rPr>
                <w:rFonts w:eastAsia="宋体" w:hint="eastAsia"/>
              </w:rPr>
              <w:fldChar w:fldCharType="begin"/>
            </w:r>
            <w:r>
              <w:rPr>
                <w:rFonts w:eastAsia="宋体" w:hint="eastAsia"/>
              </w:rPr>
              <w:instrText xml:space="preserve"> </w:instrText>
            </w:r>
            <w:r>
              <w:rPr>
                <w:rFonts w:eastAsia="宋体"/>
              </w:rPr>
              <w:instrText>PAGEREF _Toc215734354 \h</w:instrText>
            </w:r>
            <w:r>
              <w:rPr>
                <w:rFonts w:eastAsia="宋体" w:hint="eastAsia"/>
              </w:rPr>
              <w:instrText xml:space="preserve"> </w:instrText>
            </w:r>
            <w:r>
              <w:rPr>
                <w:rFonts w:eastAsia="宋体" w:hint="eastAsia"/>
              </w:rPr>
            </w:r>
            <w:r>
              <w:rPr>
                <w:rFonts w:eastAsia="宋体" w:hint="eastAsia"/>
              </w:rPr>
              <w:fldChar w:fldCharType="separate"/>
            </w:r>
            <w:r>
              <w:rPr>
                <w:rFonts w:eastAsia="宋体"/>
              </w:rPr>
              <w:t>17</w:t>
            </w:r>
            <w:r>
              <w:rPr>
                <w:rFonts w:eastAsia="宋体" w:hint="eastAsia"/>
              </w:rPr>
              <w:fldChar w:fldCharType="end"/>
            </w:r>
          </w:hyperlink>
        </w:p>
        <w:p w14:paraId="47B95319" w14:textId="77777777" w:rsidR="00A2664F" w:rsidRDefault="00A2664F">
          <w:pPr>
            <w:pStyle w:val="TOC1"/>
            <w:tabs>
              <w:tab w:val="right" w:leader="dot" w:pos="8296"/>
            </w:tabs>
            <w:adjustRightInd w:val="0"/>
            <w:snapToGrid w:val="0"/>
            <w:ind w:firstLineChars="0" w:firstLine="0"/>
            <w:jc w:val="left"/>
            <w:rPr>
              <w:rFonts w:eastAsia="宋体" w:cstheme="minorBidi"/>
              <w:sz w:val="22"/>
              <w:szCs w:val="24"/>
            </w:rPr>
          </w:pPr>
          <w:hyperlink w:anchor="_Toc215734355" w:history="1">
            <w:r>
              <w:rPr>
                <w:rStyle w:val="af9"/>
                <w:rFonts w:eastAsia="宋体" w:hint="eastAsia"/>
              </w:rPr>
              <w:t>六、与有关法律、行政法规及相关标准的关系</w:t>
            </w:r>
            <w:r>
              <w:rPr>
                <w:rFonts w:eastAsia="宋体" w:hint="eastAsia"/>
              </w:rPr>
              <w:tab/>
            </w:r>
            <w:r>
              <w:rPr>
                <w:rFonts w:eastAsia="宋体" w:hint="eastAsia"/>
              </w:rPr>
              <w:fldChar w:fldCharType="begin"/>
            </w:r>
            <w:r>
              <w:rPr>
                <w:rFonts w:eastAsia="宋体" w:hint="eastAsia"/>
              </w:rPr>
              <w:instrText xml:space="preserve"> </w:instrText>
            </w:r>
            <w:r>
              <w:rPr>
                <w:rFonts w:eastAsia="宋体"/>
              </w:rPr>
              <w:instrText>PAGEREF _Toc215734355 \h</w:instrText>
            </w:r>
            <w:r>
              <w:rPr>
                <w:rFonts w:eastAsia="宋体" w:hint="eastAsia"/>
              </w:rPr>
              <w:instrText xml:space="preserve"> </w:instrText>
            </w:r>
            <w:r>
              <w:rPr>
                <w:rFonts w:eastAsia="宋体" w:hint="eastAsia"/>
              </w:rPr>
            </w:r>
            <w:r>
              <w:rPr>
                <w:rFonts w:eastAsia="宋体" w:hint="eastAsia"/>
              </w:rPr>
              <w:fldChar w:fldCharType="separate"/>
            </w:r>
            <w:r>
              <w:rPr>
                <w:rFonts w:eastAsia="宋体"/>
              </w:rPr>
              <w:t>18</w:t>
            </w:r>
            <w:r>
              <w:rPr>
                <w:rFonts w:eastAsia="宋体" w:hint="eastAsia"/>
              </w:rPr>
              <w:fldChar w:fldCharType="end"/>
            </w:r>
          </w:hyperlink>
        </w:p>
        <w:p w14:paraId="2BB5C192" w14:textId="77777777" w:rsidR="00A2664F" w:rsidRDefault="00A2664F">
          <w:pPr>
            <w:pStyle w:val="TOC1"/>
            <w:tabs>
              <w:tab w:val="right" w:leader="dot" w:pos="8296"/>
            </w:tabs>
            <w:adjustRightInd w:val="0"/>
            <w:snapToGrid w:val="0"/>
            <w:ind w:firstLineChars="0" w:firstLine="0"/>
            <w:jc w:val="left"/>
            <w:rPr>
              <w:rFonts w:eastAsia="宋体" w:cstheme="minorBidi"/>
              <w:sz w:val="22"/>
              <w:szCs w:val="24"/>
            </w:rPr>
          </w:pPr>
          <w:hyperlink w:anchor="_Toc215734356" w:history="1">
            <w:r>
              <w:rPr>
                <w:rStyle w:val="af9"/>
                <w:rFonts w:eastAsia="宋体" w:hint="eastAsia"/>
              </w:rPr>
              <w:t>七、重大分歧意见的处理经过和依据</w:t>
            </w:r>
            <w:r>
              <w:rPr>
                <w:rFonts w:eastAsia="宋体" w:hint="eastAsia"/>
              </w:rPr>
              <w:tab/>
            </w:r>
            <w:r>
              <w:rPr>
                <w:rFonts w:eastAsia="宋体" w:hint="eastAsia"/>
              </w:rPr>
              <w:fldChar w:fldCharType="begin"/>
            </w:r>
            <w:r>
              <w:rPr>
                <w:rFonts w:eastAsia="宋体" w:hint="eastAsia"/>
              </w:rPr>
              <w:instrText xml:space="preserve"> </w:instrText>
            </w:r>
            <w:r>
              <w:rPr>
                <w:rFonts w:eastAsia="宋体"/>
              </w:rPr>
              <w:instrText>PAGEREF _Toc215734356 \h</w:instrText>
            </w:r>
            <w:r>
              <w:rPr>
                <w:rFonts w:eastAsia="宋体" w:hint="eastAsia"/>
              </w:rPr>
              <w:instrText xml:space="preserve"> </w:instrText>
            </w:r>
            <w:r>
              <w:rPr>
                <w:rFonts w:eastAsia="宋体" w:hint="eastAsia"/>
              </w:rPr>
            </w:r>
            <w:r>
              <w:rPr>
                <w:rFonts w:eastAsia="宋体" w:hint="eastAsia"/>
              </w:rPr>
              <w:fldChar w:fldCharType="separate"/>
            </w:r>
            <w:r>
              <w:rPr>
                <w:rFonts w:eastAsia="宋体"/>
              </w:rPr>
              <w:t>20</w:t>
            </w:r>
            <w:r>
              <w:rPr>
                <w:rFonts w:eastAsia="宋体" w:hint="eastAsia"/>
              </w:rPr>
              <w:fldChar w:fldCharType="end"/>
            </w:r>
          </w:hyperlink>
        </w:p>
        <w:p w14:paraId="76CFCF8F" w14:textId="77777777" w:rsidR="00A2664F" w:rsidRDefault="00A2664F">
          <w:pPr>
            <w:pStyle w:val="TOC1"/>
            <w:tabs>
              <w:tab w:val="right" w:leader="dot" w:pos="8296"/>
            </w:tabs>
            <w:adjustRightInd w:val="0"/>
            <w:snapToGrid w:val="0"/>
            <w:ind w:firstLineChars="0" w:firstLine="0"/>
            <w:jc w:val="left"/>
            <w:rPr>
              <w:rFonts w:eastAsia="宋体" w:cstheme="minorBidi"/>
              <w:sz w:val="22"/>
              <w:szCs w:val="24"/>
            </w:rPr>
          </w:pPr>
          <w:hyperlink w:anchor="_Toc215734357" w:history="1">
            <w:r>
              <w:rPr>
                <w:rStyle w:val="af9"/>
                <w:rFonts w:eastAsia="宋体" w:hint="eastAsia"/>
              </w:rPr>
              <w:t>八、涉及专利的有关说明</w:t>
            </w:r>
            <w:r>
              <w:rPr>
                <w:rFonts w:eastAsia="宋体" w:hint="eastAsia"/>
              </w:rPr>
              <w:tab/>
            </w:r>
            <w:r>
              <w:rPr>
                <w:rFonts w:eastAsia="宋体" w:hint="eastAsia"/>
              </w:rPr>
              <w:fldChar w:fldCharType="begin"/>
            </w:r>
            <w:r>
              <w:rPr>
                <w:rFonts w:eastAsia="宋体" w:hint="eastAsia"/>
              </w:rPr>
              <w:instrText xml:space="preserve"> </w:instrText>
            </w:r>
            <w:r>
              <w:rPr>
                <w:rFonts w:eastAsia="宋体"/>
              </w:rPr>
              <w:instrText>PAGEREF _Toc215734357 \h</w:instrText>
            </w:r>
            <w:r>
              <w:rPr>
                <w:rFonts w:eastAsia="宋体" w:hint="eastAsia"/>
              </w:rPr>
              <w:instrText xml:space="preserve"> </w:instrText>
            </w:r>
            <w:r>
              <w:rPr>
                <w:rFonts w:eastAsia="宋体" w:hint="eastAsia"/>
              </w:rPr>
            </w:r>
            <w:r>
              <w:rPr>
                <w:rFonts w:eastAsia="宋体" w:hint="eastAsia"/>
              </w:rPr>
              <w:fldChar w:fldCharType="separate"/>
            </w:r>
            <w:r>
              <w:rPr>
                <w:rFonts w:eastAsia="宋体"/>
              </w:rPr>
              <w:t>20</w:t>
            </w:r>
            <w:r>
              <w:rPr>
                <w:rFonts w:eastAsia="宋体" w:hint="eastAsia"/>
              </w:rPr>
              <w:fldChar w:fldCharType="end"/>
            </w:r>
          </w:hyperlink>
        </w:p>
        <w:p w14:paraId="1D5A92C5" w14:textId="77777777" w:rsidR="00A2664F" w:rsidRDefault="00A2664F">
          <w:pPr>
            <w:pStyle w:val="TOC1"/>
            <w:tabs>
              <w:tab w:val="right" w:leader="dot" w:pos="8296"/>
            </w:tabs>
            <w:adjustRightInd w:val="0"/>
            <w:snapToGrid w:val="0"/>
            <w:ind w:firstLineChars="0" w:firstLine="0"/>
            <w:rPr>
              <w:rFonts w:eastAsia="宋体" w:cstheme="minorBidi"/>
              <w:sz w:val="22"/>
              <w:szCs w:val="24"/>
            </w:rPr>
          </w:pPr>
          <w:hyperlink w:anchor="_Toc215734358" w:history="1">
            <w:r>
              <w:rPr>
                <w:rStyle w:val="af9"/>
                <w:rFonts w:eastAsia="宋体" w:hint="eastAsia"/>
              </w:rPr>
              <w:t>九、实施标准的要求，以及组织措施、技术措施、过渡期和实施日期的建议等措施建议</w:t>
            </w:r>
            <w:r>
              <w:rPr>
                <w:rFonts w:eastAsia="宋体" w:hint="eastAsia"/>
              </w:rPr>
              <w:tab/>
            </w:r>
            <w:r>
              <w:rPr>
                <w:rFonts w:eastAsia="宋体" w:hint="eastAsia"/>
              </w:rPr>
              <w:fldChar w:fldCharType="begin"/>
            </w:r>
            <w:r>
              <w:rPr>
                <w:rFonts w:eastAsia="宋体" w:hint="eastAsia"/>
              </w:rPr>
              <w:instrText xml:space="preserve"> </w:instrText>
            </w:r>
            <w:r>
              <w:rPr>
                <w:rFonts w:eastAsia="宋体"/>
              </w:rPr>
              <w:instrText>PAGEREF _Toc215734358 \h</w:instrText>
            </w:r>
            <w:r>
              <w:rPr>
                <w:rFonts w:eastAsia="宋体" w:hint="eastAsia"/>
              </w:rPr>
              <w:instrText xml:space="preserve"> </w:instrText>
            </w:r>
            <w:r>
              <w:rPr>
                <w:rFonts w:eastAsia="宋体" w:hint="eastAsia"/>
              </w:rPr>
            </w:r>
            <w:r>
              <w:rPr>
                <w:rFonts w:eastAsia="宋体" w:hint="eastAsia"/>
              </w:rPr>
              <w:fldChar w:fldCharType="separate"/>
            </w:r>
            <w:r>
              <w:rPr>
                <w:rFonts w:eastAsia="宋体"/>
              </w:rPr>
              <w:t>20</w:t>
            </w:r>
            <w:r>
              <w:rPr>
                <w:rFonts w:eastAsia="宋体" w:hint="eastAsia"/>
              </w:rPr>
              <w:fldChar w:fldCharType="end"/>
            </w:r>
          </w:hyperlink>
        </w:p>
        <w:p w14:paraId="36BD3FBF" w14:textId="77777777" w:rsidR="00A2664F" w:rsidRDefault="00A2664F">
          <w:pPr>
            <w:pStyle w:val="TOC1"/>
            <w:tabs>
              <w:tab w:val="right" w:leader="dot" w:pos="8296"/>
            </w:tabs>
            <w:adjustRightInd w:val="0"/>
            <w:snapToGrid w:val="0"/>
            <w:ind w:firstLineChars="0" w:firstLine="0"/>
            <w:rPr>
              <w:rFonts w:eastAsia="仿宋_GB2312" w:cstheme="minorBidi"/>
              <w:sz w:val="22"/>
              <w:szCs w:val="24"/>
            </w:rPr>
          </w:pPr>
          <w:hyperlink w:anchor="_Toc215734359" w:history="1">
            <w:r>
              <w:rPr>
                <w:rStyle w:val="af9"/>
                <w:rFonts w:eastAsia="宋体" w:hint="eastAsia"/>
              </w:rPr>
              <w:t>十、其他应当说明的事项</w:t>
            </w:r>
            <w:r>
              <w:rPr>
                <w:rFonts w:eastAsia="宋体" w:hint="eastAsia"/>
              </w:rPr>
              <w:tab/>
            </w:r>
            <w:r>
              <w:rPr>
                <w:rFonts w:eastAsia="宋体" w:hint="eastAsia"/>
              </w:rPr>
              <w:fldChar w:fldCharType="begin"/>
            </w:r>
            <w:r>
              <w:rPr>
                <w:rFonts w:eastAsia="宋体" w:hint="eastAsia"/>
              </w:rPr>
              <w:instrText xml:space="preserve"> </w:instrText>
            </w:r>
            <w:r>
              <w:rPr>
                <w:rFonts w:eastAsia="宋体"/>
              </w:rPr>
              <w:instrText>PAGEREF _Toc215734359 \h</w:instrText>
            </w:r>
            <w:r>
              <w:rPr>
                <w:rFonts w:eastAsia="宋体" w:hint="eastAsia"/>
              </w:rPr>
              <w:instrText xml:space="preserve"> </w:instrText>
            </w:r>
            <w:r>
              <w:rPr>
                <w:rFonts w:eastAsia="宋体" w:hint="eastAsia"/>
              </w:rPr>
            </w:r>
            <w:r>
              <w:rPr>
                <w:rFonts w:eastAsia="宋体" w:hint="eastAsia"/>
              </w:rPr>
              <w:fldChar w:fldCharType="separate"/>
            </w:r>
            <w:r>
              <w:rPr>
                <w:rFonts w:eastAsia="宋体"/>
              </w:rPr>
              <w:t>21</w:t>
            </w:r>
            <w:r>
              <w:rPr>
                <w:rFonts w:eastAsia="宋体" w:hint="eastAsia"/>
              </w:rPr>
              <w:fldChar w:fldCharType="end"/>
            </w:r>
          </w:hyperlink>
        </w:p>
        <w:p w14:paraId="1543545C" w14:textId="77777777" w:rsidR="00A2664F" w:rsidRDefault="00000000">
          <w:pPr>
            <w:adjustRightInd w:val="0"/>
            <w:snapToGrid w:val="0"/>
            <w:ind w:firstLine="560"/>
            <w:rPr>
              <w:rFonts w:eastAsia="仿宋_GB2312"/>
            </w:rPr>
          </w:pPr>
          <w:r>
            <w:rPr>
              <w:rFonts w:eastAsia="仿宋_GB2312"/>
              <w:sz w:val="28"/>
              <w:szCs w:val="48"/>
            </w:rPr>
            <w:fldChar w:fldCharType="end"/>
          </w:r>
        </w:p>
      </w:sdtContent>
    </w:sdt>
    <w:p w14:paraId="53081C52" w14:textId="77777777" w:rsidR="00A2664F" w:rsidRDefault="00A2664F">
      <w:pPr>
        <w:adjustRightInd w:val="0"/>
        <w:snapToGrid w:val="0"/>
        <w:rPr>
          <w:rFonts w:eastAsia="仿宋_GB2312"/>
        </w:rPr>
      </w:pPr>
    </w:p>
    <w:p w14:paraId="793359E4" w14:textId="77777777" w:rsidR="00A2664F" w:rsidRDefault="00A2664F">
      <w:pPr>
        <w:tabs>
          <w:tab w:val="center" w:pos="4153"/>
        </w:tabs>
        <w:ind w:firstLineChars="0" w:firstLine="0"/>
        <w:jc w:val="left"/>
        <w:sectPr w:rsidR="00A2664F">
          <w:footerReference w:type="default" r:id="rId14"/>
          <w:footerReference w:type="first" r:id="rId15"/>
          <w:pgSz w:w="11906" w:h="16838"/>
          <w:pgMar w:top="1440" w:right="1800" w:bottom="1440" w:left="1800" w:header="851" w:footer="992" w:gutter="0"/>
          <w:pgNumType w:fmt="upperRoman"/>
          <w:cols w:space="425"/>
          <w:titlePg/>
          <w:docGrid w:type="lines" w:linePitch="312"/>
        </w:sectPr>
      </w:pPr>
    </w:p>
    <w:p w14:paraId="420C7371" w14:textId="77777777" w:rsidR="00A2664F" w:rsidRDefault="00000000">
      <w:pPr>
        <w:pStyle w:val="1"/>
        <w:adjustRightInd w:val="0"/>
        <w:snapToGrid w:val="0"/>
        <w:spacing w:beforeLines="50" w:before="156" w:afterLines="50" w:after="156" w:line="360" w:lineRule="auto"/>
        <w:ind w:firstLineChars="0" w:firstLine="0"/>
        <w:rPr>
          <w:rFonts w:eastAsia="黑体"/>
        </w:rPr>
      </w:pPr>
      <w:bookmarkStart w:id="1" w:name="_Toc215734335"/>
      <w:r>
        <w:rPr>
          <w:rFonts w:eastAsia="黑体" w:hint="eastAsia"/>
        </w:rPr>
        <w:lastRenderedPageBreak/>
        <w:t>一、工作简况</w:t>
      </w:r>
      <w:bookmarkEnd w:id="1"/>
    </w:p>
    <w:p w14:paraId="72B59A61" w14:textId="77777777" w:rsidR="00A2664F" w:rsidRDefault="00000000">
      <w:pPr>
        <w:adjustRightInd w:val="0"/>
        <w:snapToGrid w:val="0"/>
        <w:spacing w:beforeLines="50" w:before="156" w:afterLines="50" w:after="156"/>
        <w:ind w:firstLine="643"/>
        <w:outlineLvl w:val="1"/>
        <w:rPr>
          <w:rFonts w:eastAsia="楷体" w:cs="楷体"/>
          <w:b/>
          <w:bCs/>
        </w:rPr>
      </w:pPr>
      <w:bookmarkStart w:id="2" w:name="_Toc215734336"/>
      <w:r>
        <w:rPr>
          <w:rFonts w:eastAsia="楷体" w:cs="楷体" w:hint="eastAsia"/>
          <w:b/>
          <w:bCs/>
        </w:rPr>
        <w:t>（一）任务来源</w:t>
      </w:r>
      <w:bookmarkEnd w:id="2"/>
    </w:p>
    <w:p w14:paraId="3BF05D65" w14:textId="457AF19E" w:rsidR="00A2664F" w:rsidRDefault="00000000">
      <w:pPr>
        <w:adjustRightInd w:val="0"/>
        <w:snapToGrid w:val="0"/>
        <w:rPr>
          <w:rFonts w:eastAsia="仿宋_GB2312"/>
        </w:rPr>
      </w:pPr>
      <w:r>
        <w:rPr>
          <w:rFonts w:eastAsia="仿宋_GB2312" w:hint="eastAsia"/>
        </w:rPr>
        <w:t>本文件《船用燃料供应电子单证技术规范</w:t>
      </w:r>
      <w:r>
        <w:rPr>
          <w:rFonts w:eastAsia="仿宋_GB2312" w:hint="eastAsia"/>
        </w:rPr>
        <w:t xml:space="preserve"> </w:t>
      </w:r>
      <w:r>
        <w:rPr>
          <w:rFonts w:eastAsia="仿宋_GB2312" w:hint="eastAsia"/>
        </w:rPr>
        <w:t>第</w:t>
      </w:r>
      <w:r>
        <w:rPr>
          <w:rFonts w:eastAsia="仿宋_GB2312" w:hint="eastAsia"/>
        </w:rPr>
        <w:t>1</w:t>
      </w:r>
      <w:r>
        <w:rPr>
          <w:rFonts w:eastAsia="仿宋_GB2312" w:hint="eastAsia"/>
        </w:rPr>
        <w:t>部分：通用要求》（以下简称“本文件”）属于中国船舶燃料供应行业团体标准体系的重要组成部分，由</w:t>
      </w:r>
      <w:r>
        <w:rPr>
          <w:rFonts w:hint="eastAsia"/>
        </w:rPr>
        <w:t>上海中船燃石油有限公司、中国船燃燃料有限责任有限公司、上海海事大学、中远海运科技股份有限公司、中石油炼油特色产品有限公司</w:t>
      </w:r>
      <w:r>
        <w:rPr>
          <w:rFonts w:eastAsia="仿宋_GB2312" w:hint="eastAsia"/>
        </w:rPr>
        <w:t>、中华人民共和国上海海事局、中国（上海）自由贸易试验区临港新片区管理委员会、上海通银石油化工有限公司、南京金源船务实业有限公司、恩德斯豪斯（中国）自动化有限公司、中国船东协会等单位联合组建标准编制组共同起草。本文件标准性质为团体标准，制修订类别为制定，标准体系编号暂定为</w:t>
      </w:r>
      <w:r>
        <w:rPr>
          <w:rFonts w:eastAsia="仿宋_GB2312" w:hint="eastAsia"/>
          <w:highlight w:val="yellow"/>
        </w:rPr>
        <w:t>T/CBS 2025-XXXX</w:t>
      </w:r>
      <w:r>
        <w:rPr>
          <w:rFonts w:eastAsia="仿宋_GB2312" w:hint="eastAsia"/>
        </w:rPr>
        <w:t>，拟在征求意见、审查、报批后正式发布实施。</w:t>
      </w:r>
    </w:p>
    <w:p w14:paraId="0F3BC3BC" w14:textId="18940661" w:rsidR="00A2664F" w:rsidRDefault="00000000">
      <w:pPr>
        <w:adjustRightInd w:val="0"/>
        <w:snapToGrid w:val="0"/>
        <w:rPr>
          <w:rFonts w:eastAsia="仿宋_GB2312"/>
        </w:rPr>
      </w:pPr>
      <w:r>
        <w:rPr>
          <w:rFonts w:eastAsia="仿宋_GB2312" w:hint="eastAsia"/>
        </w:rPr>
        <w:t>本文件是《船用燃料供应电子单证技术规范》系列标准的第</w:t>
      </w:r>
      <w:r>
        <w:rPr>
          <w:rFonts w:eastAsia="仿宋_GB2312" w:hint="eastAsia"/>
        </w:rPr>
        <w:t>1</w:t>
      </w:r>
      <w:r>
        <w:rPr>
          <w:rFonts w:eastAsia="仿宋_GB2312" w:hint="eastAsia"/>
        </w:rPr>
        <w:t>部分，该系列标准拟分为以下几个部分：第</w:t>
      </w:r>
      <w:r>
        <w:rPr>
          <w:rFonts w:eastAsia="仿宋_GB2312" w:hint="eastAsia"/>
        </w:rPr>
        <w:t>1</w:t>
      </w:r>
      <w:r>
        <w:rPr>
          <w:rFonts w:eastAsia="仿宋_GB2312" w:hint="eastAsia"/>
        </w:rPr>
        <w:t>部分，通用要求；第</w:t>
      </w:r>
      <w:r>
        <w:rPr>
          <w:rFonts w:eastAsia="仿宋_GB2312" w:hint="eastAsia"/>
        </w:rPr>
        <w:t>2</w:t>
      </w:r>
      <w:r>
        <w:rPr>
          <w:rFonts w:eastAsia="仿宋_GB2312" w:hint="eastAsia"/>
        </w:rPr>
        <w:t>部分，信息平台与数据接口要求；第</w:t>
      </w:r>
      <w:r>
        <w:rPr>
          <w:rFonts w:eastAsia="仿宋_GB2312" w:hint="eastAsia"/>
        </w:rPr>
        <w:t>3</w:t>
      </w:r>
      <w:r>
        <w:rPr>
          <w:rFonts w:eastAsia="仿宋_GB2312" w:hint="eastAsia"/>
        </w:rPr>
        <w:t>部分，</w:t>
      </w:r>
      <w:r w:rsidR="004A2773" w:rsidRPr="004A2773">
        <w:rPr>
          <w:rFonts w:eastAsia="仿宋_GB2312"/>
        </w:rPr>
        <w:t>辅助单据基本信息要求</w:t>
      </w:r>
      <w:r>
        <w:rPr>
          <w:rFonts w:eastAsia="仿宋_GB2312" w:hint="eastAsia"/>
        </w:rPr>
        <w:t>。本文件作为系列标准的通用基础部分，统一规定电子单证的三元属性、一般原则、单证全流程管理及特殊场景与争议处置的通用规则，为第</w:t>
      </w:r>
      <w:r>
        <w:rPr>
          <w:rFonts w:eastAsia="仿宋_GB2312" w:hint="eastAsia"/>
        </w:rPr>
        <w:t>2</w:t>
      </w:r>
      <w:r>
        <w:rPr>
          <w:rFonts w:eastAsia="仿宋_GB2312" w:hint="eastAsia"/>
        </w:rPr>
        <w:t>部分、第</w:t>
      </w:r>
      <w:r>
        <w:rPr>
          <w:rFonts w:eastAsia="仿宋_GB2312" w:hint="eastAsia"/>
        </w:rPr>
        <w:t>3</w:t>
      </w:r>
      <w:r>
        <w:rPr>
          <w:rFonts w:eastAsia="仿宋_GB2312" w:hint="eastAsia"/>
        </w:rPr>
        <w:t>部分提供总体框架和一致性约束。</w:t>
      </w:r>
    </w:p>
    <w:p w14:paraId="02D0C730" w14:textId="77777777" w:rsidR="00A2664F" w:rsidRDefault="00000000">
      <w:pPr>
        <w:adjustRightInd w:val="0"/>
        <w:snapToGrid w:val="0"/>
        <w:spacing w:beforeLines="50" w:before="156" w:afterLines="50" w:after="156"/>
        <w:ind w:firstLine="643"/>
        <w:outlineLvl w:val="1"/>
        <w:rPr>
          <w:rFonts w:eastAsia="楷体" w:cs="楷体"/>
          <w:b/>
          <w:bCs/>
        </w:rPr>
      </w:pPr>
      <w:bookmarkStart w:id="3" w:name="_Toc215734337"/>
      <w:r>
        <w:rPr>
          <w:rFonts w:eastAsia="楷体" w:cs="楷体" w:hint="eastAsia"/>
          <w:b/>
          <w:bCs/>
        </w:rPr>
        <w:lastRenderedPageBreak/>
        <w:t>（二）制定背景</w:t>
      </w:r>
      <w:bookmarkEnd w:id="3"/>
    </w:p>
    <w:p w14:paraId="1E761F48" w14:textId="77777777" w:rsidR="00A2664F" w:rsidRDefault="00000000">
      <w:pPr>
        <w:adjustRightInd w:val="0"/>
        <w:snapToGrid w:val="0"/>
        <w:rPr>
          <w:rFonts w:eastAsia="仿宋_GB2312"/>
        </w:rPr>
      </w:pPr>
      <w:r>
        <w:rPr>
          <w:rFonts w:eastAsia="仿宋_GB2312" w:hint="eastAsia"/>
        </w:rPr>
        <w:t>近年来，随着国际海事组织（</w:t>
      </w:r>
      <w:r>
        <w:rPr>
          <w:rFonts w:eastAsia="仿宋_GB2312" w:hint="eastAsia"/>
        </w:rPr>
        <w:t>IMO</w:t>
      </w:r>
      <w:r>
        <w:rPr>
          <w:rFonts w:eastAsia="仿宋_GB2312" w:hint="eastAsia"/>
        </w:rPr>
        <w:t>）温室气体减排战略及《国际防止船舶造成污染公约》（</w:t>
      </w:r>
      <w:r>
        <w:rPr>
          <w:rFonts w:eastAsia="仿宋_GB2312" w:hint="eastAsia"/>
        </w:rPr>
        <w:t>MARPOL</w:t>
      </w:r>
      <w:r>
        <w:rPr>
          <w:rFonts w:eastAsia="仿宋_GB2312" w:hint="eastAsia"/>
        </w:rPr>
        <w:t>）附则</w:t>
      </w:r>
      <w:r>
        <w:rPr>
          <w:rFonts w:eastAsia="仿宋_GB2312" w:hint="eastAsia"/>
        </w:rPr>
        <w:t>VI</w:t>
      </w:r>
      <w:r>
        <w:rPr>
          <w:rFonts w:eastAsia="仿宋_GB2312" w:hint="eastAsia"/>
        </w:rPr>
        <w:t>对船舶温室气体排放、燃油质量的监管不断加严，船用燃料供应环节的电子化、可追溯化已成为国际航运业绿色转型的基础性要求。船用燃油加注是船舶运营中的高频关键业务，涉及供油方、受油方、港口方、检验机构以及海关、海事等监管部门多方主体，业务链条长、单证种类繁多、责任边界复杂。</w:t>
      </w:r>
    </w:p>
    <w:p w14:paraId="349AD265" w14:textId="77777777" w:rsidR="00A2664F" w:rsidRDefault="00000000">
      <w:pPr>
        <w:adjustRightInd w:val="0"/>
        <w:snapToGrid w:val="0"/>
        <w:rPr>
          <w:rFonts w:eastAsia="仿宋_GB2312"/>
        </w:rPr>
      </w:pPr>
      <w:r>
        <w:rPr>
          <w:rFonts w:eastAsia="仿宋_GB2312" w:hint="eastAsia"/>
        </w:rPr>
        <w:t>当前，船用燃料供应仍以纸质《船用燃油加注交付单》（</w:t>
      </w:r>
      <w:r>
        <w:rPr>
          <w:rFonts w:eastAsia="仿宋_GB2312" w:hint="eastAsia"/>
        </w:rPr>
        <w:t>Bunker Delivery Note</w:t>
      </w:r>
      <w:r>
        <w:rPr>
          <w:rFonts w:eastAsia="仿宋_GB2312" w:hint="eastAsia"/>
        </w:rPr>
        <w:t>，</w:t>
      </w:r>
      <w:r>
        <w:rPr>
          <w:rFonts w:eastAsia="仿宋_GB2312" w:hint="eastAsia"/>
        </w:rPr>
        <w:t>BDN</w:t>
      </w:r>
      <w:r>
        <w:rPr>
          <w:rFonts w:eastAsia="仿宋_GB2312" w:hint="eastAsia"/>
        </w:rPr>
        <w:t>）为主，存在三方面突出问题：一是人可读、机器可解释、可验证三元属性割裂，纸质单据易于人工识别但难以被信息系统直接处理、无法自证未被篡改；二是单证全流程闭环缺失，签发、登记、流转、核验、归档各环节分散在不同主体和系统中，缺乏统一的可追溯链条，主单与计量、质量、交易、安全等辅助单据之间关联性薄弱，篡改、丢失、重复申报等风险难以防范；三是监管协同不畅，海关保税油出仓、物料添加申报与海事燃油质量、温室气体合规申报之间数据不互通，申报重复、凭证留存不规范，难以满足实时上报的监管要求。</w:t>
      </w:r>
    </w:p>
    <w:p w14:paraId="328630E1" w14:textId="0EA9F400" w:rsidR="00A2664F" w:rsidRDefault="00000000">
      <w:pPr>
        <w:adjustRightInd w:val="0"/>
        <w:snapToGrid w:val="0"/>
        <w:rPr>
          <w:rFonts w:eastAsia="仿宋_GB2312"/>
        </w:rPr>
      </w:pPr>
      <w:r>
        <w:rPr>
          <w:rFonts w:eastAsia="仿宋_GB2312" w:hint="eastAsia"/>
        </w:rPr>
        <w:t>在国际层面，</w:t>
      </w:r>
      <w:r>
        <w:rPr>
          <w:rFonts w:eastAsia="仿宋_GB2312" w:hint="eastAsia"/>
        </w:rPr>
        <w:t>IMO A.1119</w:t>
      </w:r>
      <w:proofErr w:type="gramStart"/>
      <w:r>
        <w:rPr>
          <w:rFonts w:eastAsia="仿宋_GB2312" w:hint="eastAsia"/>
        </w:rPr>
        <w:t>(30)</w:t>
      </w:r>
      <w:proofErr w:type="gramEnd"/>
      <w:r>
        <w:rPr>
          <w:rFonts w:eastAsia="仿宋_GB2312" w:hint="eastAsia"/>
        </w:rPr>
        <w:t>《船用燃油交付单统一标准》、</w:t>
      </w:r>
      <w:r>
        <w:rPr>
          <w:rFonts w:eastAsia="仿宋_GB2312" w:hint="eastAsia"/>
        </w:rPr>
        <w:t>ISO 8217:2024</w:t>
      </w:r>
      <w:r>
        <w:rPr>
          <w:rFonts w:eastAsia="仿宋_GB2312" w:hint="eastAsia"/>
        </w:rPr>
        <w:t>《石油产品</w:t>
      </w:r>
      <w:r>
        <w:rPr>
          <w:rFonts w:eastAsia="仿宋_GB2312" w:hint="eastAsia"/>
        </w:rPr>
        <w:t xml:space="preserve"> </w:t>
      </w:r>
      <w:r>
        <w:rPr>
          <w:rFonts w:eastAsia="仿宋_GB2312" w:hint="eastAsia"/>
        </w:rPr>
        <w:t>燃料（</w:t>
      </w:r>
      <w:r>
        <w:rPr>
          <w:rFonts w:eastAsia="仿宋_GB2312" w:hint="eastAsia"/>
        </w:rPr>
        <w:t>F</w:t>
      </w:r>
      <w:r>
        <w:rPr>
          <w:rFonts w:eastAsia="仿宋_GB2312" w:hint="eastAsia"/>
        </w:rPr>
        <w:t>类）船用燃料规</w:t>
      </w:r>
      <w:r>
        <w:rPr>
          <w:rFonts w:eastAsia="仿宋_GB2312" w:hint="eastAsia"/>
        </w:rPr>
        <w:lastRenderedPageBreak/>
        <w:t>范》及</w:t>
      </w:r>
      <w:r>
        <w:rPr>
          <w:rFonts w:eastAsia="仿宋_GB2312" w:hint="eastAsia"/>
        </w:rPr>
        <w:t>ISO 23765:2021</w:t>
      </w:r>
      <w:r>
        <w:rPr>
          <w:rFonts w:eastAsia="仿宋_GB2312" w:hint="eastAsia"/>
        </w:rPr>
        <w:t>（</w:t>
      </w:r>
      <w:r>
        <w:rPr>
          <w:rFonts w:eastAsia="仿宋_GB2312" w:hint="eastAsia"/>
        </w:rPr>
        <w:t>GB/T 45487</w:t>
      </w:r>
      <w:r>
        <w:rPr>
          <w:rFonts w:eastAsia="仿宋_GB2312" w:hint="eastAsia"/>
        </w:rPr>
        <w:t>—</w:t>
      </w:r>
      <w:r>
        <w:rPr>
          <w:rFonts w:eastAsia="仿宋_GB2312" w:hint="eastAsia"/>
        </w:rPr>
        <w:t>2025</w:t>
      </w:r>
      <w:r>
        <w:rPr>
          <w:rFonts w:eastAsia="仿宋_GB2312" w:hint="eastAsia"/>
        </w:rPr>
        <w:t>等同采用）《船舶与海上技术</w:t>
      </w:r>
      <w:r>
        <w:rPr>
          <w:rFonts w:eastAsia="仿宋_GB2312" w:hint="eastAsia"/>
        </w:rPr>
        <w:t xml:space="preserve"> </w:t>
      </w:r>
      <w:r>
        <w:rPr>
          <w:rFonts w:eastAsia="仿宋_GB2312" w:hint="eastAsia"/>
        </w:rPr>
        <w:t>海上环境保护</w:t>
      </w:r>
      <w:r>
        <w:rPr>
          <w:rFonts w:eastAsia="仿宋_GB2312" w:hint="eastAsia"/>
        </w:rPr>
        <w:t xml:space="preserve"> </w:t>
      </w:r>
      <w:r>
        <w:rPr>
          <w:rFonts w:eastAsia="仿宋_GB2312" w:hint="eastAsia"/>
        </w:rPr>
        <w:t>船舶燃油消耗数据收集规范》等，均对</w:t>
      </w:r>
      <w:r>
        <w:rPr>
          <w:rFonts w:eastAsia="仿宋_GB2312" w:hint="eastAsia"/>
        </w:rPr>
        <w:t>BDN</w:t>
      </w:r>
      <w:r>
        <w:rPr>
          <w:rFonts w:eastAsia="仿宋_GB2312" w:hint="eastAsia"/>
        </w:rPr>
        <w:t>的信息内容、交付确认及记录留存提出要求，但对电子单证的技术架构、签署登记、存证溯源等尚未形成完整规范。在国内层面，</w:t>
      </w:r>
      <w:r>
        <w:rPr>
          <w:rFonts w:eastAsia="仿宋_GB2312" w:hint="eastAsia"/>
        </w:rPr>
        <w:t>GB/T 25346</w:t>
      </w:r>
      <w:r>
        <w:rPr>
          <w:rFonts w:eastAsia="仿宋_GB2312" w:hint="eastAsia"/>
        </w:rPr>
        <w:t>—</w:t>
      </w:r>
      <w:r>
        <w:rPr>
          <w:rFonts w:eastAsia="仿宋_GB2312" w:hint="eastAsia"/>
        </w:rPr>
        <w:t>2020</w:t>
      </w:r>
      <w:r>
        <w:rPr>
          <w:rFonts w:eastAsia="仿宋_GB2312" w:hint="eastAsia"/>
        </w:rPr>
        <w:t>《</w:t>
      </w:r>
      <w:r w:rsidR="00B55653" w:rsidRPr="00B55653">
        <w:rPr>
          <w:rFonts w:eastAsia="仿宋_GB2312"/>
        </w:rPr>
        <w:t>船舶供受燃油规程</w:t>
      </w:r>
      <w:r>
        <w:rPr>
          <w:rFonts w:eastAsia="仿宋_GB2312" w:hint="eastAsia"/>
        </w:rPr>
        <w:t>》规定了燃油供受的作业流程与单证要求，但未针对电子化单证的属性、全流程管理和争议处置给出系统规定。</w:t>
      </w:r>
    </w:p>
    <w:p w14:paraId="610DE674" w14:textId="77777777" w:rsidR="00A2664F" w:rsidRDefault="00000000">
      <w:pPr>
        <w:adjustRightInd w:val="0"/>
        <w:snapToGrid w:val="0"/>
        <w:rPr>
          <w:rFonts w:eastAsia="仿宋_GB2312"/>
        </w:rPr>
      </w:pPr>
      <w:r>
        <w:rPr>
          <w:rFonts w:eastAsia="仿宋_GB2312" w:hint="eastAsia"/>
        </w:rPr>
        <w:t>为落实《中华人民共和国电子签名法》《中华人民共和国数据安全法》《中华人民共和国海关进出境运输工具监管办法》等法律法规要求，推动船用燃料供应单证从纸质单点向电子闭环升级，破解行业电子单证属性不统一、流程不可追溯、监管不协同的发展瓶颈，支撑国际航行船舶燃料加注业务的数字化、绿色化转型，亟需制定统一的电子单证通用要求。为此，归口单位组织相关单位开展本文件的编制工作。</w:t>
      </w:r>
    </w:p>
    <w:p w14:paraId="6D4ECB40" w14:textId="77777777" w:rsidR="00A2664F" w:rsidRDefault="00000000">
      <w:pPr>
        <w:adjustRightInd w:val="0"/>
        <w:snapToGrid w:val="0"/>
        <w:rPr>
          <w:rFonts w:eastAsia="仿宋_GB2312"/>
        </w:rPr>
      </w:pPr>
      <w:r>
        <w:rPr>
          <w:rFonts w:eastAsia="仿宋_GB2312" w:hint="eastAsia"/>
        </w:rPr>
        <w:t>综上，制定本文件具有显著的现实意义与战略价值：一是统一电子单证的人可读、机器可解释、可验证三元属性与全流程管理规则，为行业电子化提供统一技术基线；二是打通签发、登记、流转、核验、归档的闭环可追溯链条，防范篡改与重复申报风险；三是支撑海关、海事等监管部门的数据实时上报与在线查证，提升监管协同效率，</w:t>
      </w:r>
      <w:r>
        <w:rPr>
          <w:rFonts w:eastAsia="仿宋_GB2312" w:hint="eastAsia"/>
        </w:rPr>
        <w:lastRenderedPageBreak/>
        <w:t>为我国船用燃料供应行业参与国际规则对接、提升航运绿色竞争力提供标准支撑。</w:t>
      </w:r>
    </w:p>
    <w:p w14:paraId="02D851A9" w14:textId="77777777" w:rsidR="00A2664F" w:rsidRDefault="00000000">
      <w:pPr>
        <w:adjustRightInd w:val="0"/>
        <w:snapToGrid w:val="0"/>
        <w:spacing w:beforeLines="50" w:before="156" w:afterLines="50" w:after="156"/>
        <w:ind w:firstLine="643"/>
        <w:outlineLvl w:val="1"/>
        <w:rPr>
          <w:rFonts w:eastAsia="楷体" w:cs="楷体"/>
          <w:b/>
          <w:bCs/>
        </w:rPr>
      </w:pPr>
      <w:bookmarkStart w:id="4" w:name="_Toc215734338"/>
      <w:r>
        <w:rPr>
          <w:rFonts w:eastAsia="楷体" w:cs="楷体" w:hint="eastAsia"/>
          <w:b/>
          <w:bCs/>
        </w:rPr>
        <w:t>（三）起草过程</w:t>
      </w:r>
      <w:bookmarkEnd w:id="4"/>
    </w:p>
    <w:p w14:paraId="3FC17A2A" w14:textId="4EDDB210" w:rsidR="00A2664F" w:rsidRDefault="00000000">
      <w:pPr>
        <w:adjustRightInd w:val="0"/>
        <w:snapToGrid w:val="0"/>
        <w:rPr>
          <w:rFonts w:eastAsia="仿宋_GB2312"/>
        </w:rPr>
      </w:pPr>
      <w:bookmarkStart w:id="5" w:name="_Toc215734339"/>
      <w:r>
        <w:rPr>
          <w:rFonts w:eastAsia="仿宋_GB2312" w:hint="eastAsia"/>
        </w:rPr>
        <w:t>本文件由</w:t>
      </w:r>
      <w:r>
        <w:rPr>
          <w:rFonts w:eastAsia="仿宋_GB2312" w:hint="eastAsia"/>
        </w:rPr>
        <w:t>XXXX</w:t>
      </w:r>
      <w:r>
        <w:rPr>
          <w:rFonts w:eastAsia="仿宋_GB2312" w:hint="eastAsia"/>
        </w:rPr>
        <w:t>提出并归口，联合中国船舶燃料有限责任公司、上海海事大学、上海国际航运碳足迹标识协会、燃料供应企业、港航管理部门及信息化服务单位等，组织吸收科研、生产、供应、检验、信息化等方面的专家和技术人员共同完成。主要起草过程如下：</w:t>
      </w:r>
    </w:p>
    <w:p w14:paraId="7C7878D2" w14:textId="2A04E0E3" w:rsidR="00A2664F" w:rsidRDefault="00000000">
      <w:pPr>
        <w:adjustRightInd w:val="0"/>
        <w:snapToGrid w:val="0"/>
        <w:rPr>
          <w:rFonts w:eastAsia="仿宋_GB2312"/>
        </w:rPr>
      </w:pPr>
      <w:r>
        <w:rPr>
          <w:rFonts w:eastAsia="仿宋_GB2312" w:hint="eastAsia"/>
        </w:rPr>
        <w:t>2026</w:t>
      </w:r>
      <w:r>
        <w:rPr>
          <w:rFonts w:eastAsia="仿宋_GB2312" w:hint="eastAsia"/>
        </w:rPr>
        <w:t>年</w:t>
      </w:r>
      <w:r>
        <w:rPr>
          <w:rFonts w:eastAsia="仿宋_GB2312" w:hint="eastAsia"/>
        </w:rPr>
        <w:t>1</w:t>
      </w:r>
      <w:r>
        <w:rPr>
          <w:rFonts w:eastAsia="仿宋_GB2312" w:hint="eastAsia"/>
        </w:rPr>
        <w:t>月～</w:t>
      </w:r>
      <w:r>
        <w:rPr>
          <w:rFonts w:eastAsia="仿宋_GB2312" w:hint="eastAsia"/>
        </w:rPr>
        <w:t>3</w:t>
      </w:r>
      <w:r>
        <w:rPr>
          <w:rFonts w:eastAsia="仿宋_GB2312" w:hint="eastAsia"/>
        </w:rPr>
        <w:t>月，开展前期调研与资料收集。编制组系统梳理国内外船用燃料供应单证管理制度、</w:t>
      </w:r>
      <w:r>
        <w:rPr>
          <w:rFonts w:eastAsia="仿宋_GB2312" w:hint="eastAsia"/>
        </w:rPr>
        <w:t>IMO</w:t>
      </w:r>
      <w:r>
        <w:rPr>
          <w:rFonts w:eastAsia="仿宋_GB2312" w:hint="eastAsia"/>
        </w:rPr>
        <w:t>与</w:t>
      </w:r>
      <w:r>
        <w:rPr>
          <w:rFonts w:eastAsia="仿宋_GB2312" w:hint="eastAsia"/>
        </w:rPr>
        <w:t>ISO</w:t>
      </w:r>
      <w:r>
        <w:rPr>
          <w:rFonts w:eastAsia="仿宋_GB2312" w:hint="eastAsia"/>
        </w:rPr>
        <w:t>相关标准、</w:t>
      </w:r>
      <w:r>
        <w:rPr>
          <w:rFonts w:eastAsia="仿宋_GB2312" w:hint="eastAsia"/>
        </w:rPr>
        <w:t>GB/T 25346</w:t>
      </w:r>
      <w:r>
        <w:rPr>
          <w:rFonts w:eastAsia="仿宋_GB2312" w:hint="eastAsia"/>
        </w:rPr>
        <w:t>—</w:t>
      </w:r>
      <w:r>
        <w:rPr>
          <w:rFonts w:eastAsia="仿宋_GB2312" w:hint="eastAsia"/>
        </w:rPr>
        <w:t>2020</w:t>
      </w:r>
      <w:r>
        <w:rPr>
          <w:rFonts w:eastAsia="仿宋_GB2312" w:hint="eastAsia"/>
        </w:rPr>
        <w:t>等国内标准，调研供油企业、航运企业、港口及海关、海事监管部门在燃料供应单证管理方面的业务现状与痛点，完成基础资料收集。</w:t>
      </w:r>
    </w:p>
    <w:p w14:paraId="34BFFFC9" w14:textId="77777777" w:rsidR="00A2664F" w:rsidRDefault="00000000">
      <w:pPr>
        <w:adjustRightInd w:val="0"/>
        <w:snapToGrid w:val="0"/>
        <w:rPr>
          <w:rFonts w:eastAsia="仿宋_GB2312"/>
        </w:rPr>
      </w:pPr>
      <w:r>
        <w:rPr>
          <w:rFonts w:eastAsia="仿宋_GB2312" w:hint="eastAsia"/>
        </w:rPr>
        <w:t>2026</w:t>
      </w:r>
      <w:r>
        <w:rPr>
          <w:rFonts w:eastAsia="仿宋_GB2312" w:hint="eastAsia"/>
        </w:rPr>
        <w:t>年</w:t>
      </w:r>
      <w:r>
        <w:rPr>
          <w:rFonts w:eastAsia="仿宋_GB2312" w:hint="eastAsia"/>
        </w:rPr>
        <w:t>4</w:t>
      </w:r>
      <w:r>
        <w:rPr>
          <w:rFonts w:eastAsia="仿宋_GB2312" w:hint="eastAsia"/>
        </w:rPr>
        <w:t>月，确定研究方案。编制组在草案基础上明确以三元属性、一般原则、全流程管理、特殊场景与争议处置为主线的技术路线，针对电子签名、登记存证、离线应急等关键争议内容开展专项论证，形成研究方案。</w:t>
      </w:r>
    </w:p>
    <w:p w14:paraId="44C48049" w14:textId="77777777" w:rsidR="00A2664F" w:rsidRDefault="00000000">
      <w:pPr>
        <w:adjustRightInd w:val="0"/>
        <w:snapToGrid w:val="0"/>
        <w:rPr>
          <w:rFonts w:eastAsia="仿宋_GB2312"/>
        </w:rPr>
      </w:pPr>
      <w:r>
        <w:rPr>
          <w:rFonts w:eastAsia="仿宋_GB2312" w:hint="eastAsia"/>
        </w:rPr>
        <w:t>2026</w:t>
      </w:r>
      <w:r>
        <w:rPr>
          <w:rFonts w:eastAsia="仿宋_GB2312" w:hint="eastAsia"/>
        </w:rPr>
        <w:t>年</w:t>
      </w:r>
      <w:r>
        <w:rPr>
          <w:rFonts w:eastAsia="仿宋_GB2312" w:hint="eastAsia"/>
        </w:rPr>
        <w:t>5</w:t>
      </w:r>
      <w:r>
        <w:rPr>
          <w:rFonts w:eastAsia="仿宋_GB2312" w:hint="eastAsia"/>
        </w:rPr>
        <w:t>月，正式组建编制组并立项。由中国船舶燃料有限责任公司、上海海事大学、中远海运科技股份有限公司等单位联合提出编制需求，完成立项程序；编制组召开启动会，明确成员职责分工，确立以单证全生命周期闭环管理为核心的编写思路。</w:t>
      </w:r>
    </w:p>
    <w:p w14:paraId="417A4830" w14:textId="65949C23" w:rsidR="00A2664F" w:rsidRDefault="00000000">
      <w:pPr>
        <w:adjustRightInd w:val="0"/>
        <w:snapToGrid w:val="0"/>
        <w:rPr>
          <w:rFonts w:eastAsia="仿宋_GB2312"/>
        </w:rPr>
      </w:pPr>
      <w:r>
        <w:rPr>
          <w:rFonts w:eastAsia="仿宋_GB2312" w:hint="eastAsia"/>
        </w:rPr>
        <w:lastRenderedPageBreak/>
        <w:t>2026</w:t>
      </w:r>
      <w:r>
        <w:rPr>
          <w:rFonts w:eastAsia="仿宋_GB2312" w:hint="eastAsia"/>
        </w:rPr>
        <w:t>年</w:t>
      </w:r>
      <w:r>
        <w:rPr>
          <w:rFonts w:eastAsia="仿宋_GB2312" w:hint="eastAsia"/>
        </w:rPr>
        <w:t>6</w:t>
      </w:r>
      <w:r>
        <w:rPr>
          <w:rFonts w:eastAsia="仿宋_GB2312" w:hint="eastAsia"/>
        </w:rPr>
        <w:t>月～</w:t>
      </w:r>
      <w:r>
        <w:rPr>
          <w:rFonts w:eastAsia="仿宋_GB2312" w:hint="eastAsia"/>
        </w:rPr>
        <w:t>7</w:t>
      </w:r>
      <w:r>
        <w:rPr>
          <w:rFonts w:eastAsia="仿宋_GB2312" w:hint="eastAsia"/>
        </w:rPr>
        <w:t>月，现场调研。对船舶加注作业、海关与海事监管流程、现有</w:t>
      </w:r>
      <w:r>
        <w:rPr>
          <w:rFonts w:eastAsia="仿宋_GB2312" w:hint="eastAsia"/>
        </w:rPr>
        <w:t>e-BDN</w:t>
      </w:r>
      <w:r>
        <w:rPr>
          <w:rFonts w:eastAsia="仿宋_GB2312" w:hint="eastAsia"/>
        </w:rPr>
        <w:t>信息平台等进行现场调研，形成调研报告。</w:t>
      </w:r>
    </w:p>
    <w:p w14:paraId="0B3020D9" w14:textId="7B6CB77B" w:rsidR="00A2664F" w:rsidRDefault="00000000">
      <w:pPr>
        <w:adjustRightInd w:val="0"/>
        <w:snapToGrid w:val="0"/>
        <w:rPr>
          <w:rFonts w:eastAsia="仿宋_GB2312"/>
        </w:rPr>
      </w:pPr>
      <w:r>
        <w:rPr>
          <w:rFonts w:eastAsia="仿宋_GB2312" w:hint="eastAsia"/>
        </w:rPr>
        <w:t>2026</w:t>
      </w:r>
      <w:r>
        <w:rPr>
          <w:rFonts w:eastAsia="仿宋_GB2312" w:hint="eastAsia"/>
        </w:rPr>
        <w:t>年</w:t>
      </w:r>
      <w:r>
        <w:rPr>
          <w:rFonts w:eastAsia="仿宋_GB2312" w:hint="eastAsia"/>
        </w:rPr>
        <w:t>8</w:t>
      </w:r>
      <w:r>
        <w:rPr>
          <w:rFonts w:eastAsia="仿宋_GB2312" w:hint="eastAsia"/>
        </w:rPr>
        <w:t>月，根据前期调研与研究结果，编制组编制标准初稿，并经多轮专家研讨，完善优化标准文本、细化条款、规范表述，形成标准讨论稿及编制说明初稿。</w:t>
      </w:r>
    </w:p>
    <w:p w14:paraId="6DA146C0" w14:textId="14C7D91B" w:rsidR="00A2664F" w:rsidRDefault="00000000">
      <w:pPr>
        <w:adjustRightInd w:val="0"/>
        <w:snapToGrid w:val="0"/>
        <w:rPr>
          <w:rFonts w:eastAsia="仿宋_GB2312" w:cs="Arial"/>
          <w:bCs/>
        </w:rPr>
      </w:pPr>
      <w:r>
        <w:rPr>
          <w:rFonts w:eastAsia="仿宋_GB2312" w:hint="eastAsia"/>
        </w:rPr>
        <w:t>2026</w:t>
      </w:r>
      <w:r>
        <w:rPr>
          <w:rFonts w:eastAsia="仿宋_GB2312" w:hint="eastAsia"/>
        </w:rPr>
        <w:t>年</w:t>
      </w:r>
      <w:r>
        <w:rPr>
          <w:rFonts w:eastAsia="仿宋_GB2312" w:hint="eastAsia"/>
        </w:rPr>
        <w:t>8</w:t>
      </w:r>
      <w:r>
        <w:rPr>
          <w:rFonts w:eastAsia="仿宋_GB2312" w:hint="eastAsia"/>
        </w:rPr>
        <w:t>月</w:t>
      </w:r>
      <w:r>
        <w:rPr>
          <w:rFonts w:eastAsia="仿宋_GB2312" w:hint="eastAsia"/>
        </w:rPr>
        <w:t>-9</w:t>
      </w:r>
      <w:r>
        <w:rPr>
          <w:rFonts w:eastAsia="仿宋_GB2312" w:hint="eastAsia"/>
        </w:rPr>
        <w:t>月，内部征求意见。通过向参与标准编制的单位广泛征集意见，经梳理、论证后修改完善，形成标准征求意见稿（</w:t>
      </w:r>
      <w:r>
        <w:rPr>
          <w:rFonts w:eastAsia="仿宋_GB2312" w:hint="eastAsia"/>
        </w:rPr>
        <w:t>T/CBS 2025-XXXX</w:t>
      </w:r>
      <w:r>
        <w:rPr>
          <w:rFonts w:eastAsia="仿宋_GB2312" w:hint="eastAsia"/>
        </w:rPr>
        <w:t>）及编制说明。</w:t>
      </w:r>
    </w:p>
    <w:p w14:paraId="5F24142E" w14:textId="77777777" w:rsidR="00A2664F" w:rsidRDefault="00000000">
      <w:pPr>
        <w:pStyle w:val="1"/>
        <w:adjustRightInd w:val="0"/>
        <w:snapToGrid w:val="0"/>
        <w:spacing w:beforeLines="50" w:before="156" w:afterLines="50" w:after="156" w:line="360" w:lineRule="auto"/>
        <w:ind w:firstLineChars="0" w:firstLine="0"/>
        <w:rPr>
          <w:rFonts w:eastAsia="黑体"/>
        </w:rPr>
      </w:pPr>
      <w:r>
        <w:rPr>
          <w:rFonts w:eastAsia="黑体" w:hint="eastAsia"/>
        </w:rPr>
        <w:t>二、标准编制原则、主要内容及其确定依据</w:t>
      </w:r>
      <w:bookmarkEnd w:id="5"/>
    </w:p>
    <w:p w14:paraId="0627203A" w14:textId="77777777" w:rsidR="00A2664F" w:rsidRDefault="00000000">
      <w:pPr>
        <w:adjustRightInd w:val="0"/>
        <w:snapToGrid w:val="0"/>
        <w:spacing w:beforeLines="50" w:before="156" w:afterLines="50" w:after="156"/>
        <w:ind w:firstLine="643"/>
        <w:outlineLvl w:val="1"/>
        <w:rPr>
          <w:rFonts w:eastAsia="楷体" w:cs="楷体"/>
          <w:b/>
          <w:bCs/>
        </w:rPr>
      </w:pPr>
      <w:bookmarkStart w:id="6" w:name="_Toc215734340"/>
      <w:r>
        <w:rPr>
          <w:rFonts w:eastAsia="楷体" w:cs="楷体" w:hint="eastAsia"/>
          <w:b/>
          <w:bCs/>
        </w:rPr>
        <w:t>（一）标准编制原则</w:t>
      </w:r>
      <w:bookmarkEnd w:id="6"/>
    </w:p>
    <w:p w14:paraId="260BF9AF" w14:textId="77777777" w:rsidR="00A2664F" w:rsidRDefault="00000000">
      <w:pPr>
        <w:adjustRightInd w:val="0"/>
        <w:snapToGrid w:val="0"/>
        <w:rPr>
          <w:rFonts w:eastAsia="仿宋_GB2312"/>
        </w:rPr>
      </w:pPr>
      <w:r>
        <w:rPr>
          <w:rFonts w:eastAsia="仿宋_GB2312"/>
        </w:rPr>
        <w:t>1</w:t>
      </w:r>
      <w:r>
        <w:rPr>
          <w:rFonts w:eastAsia="仿宋_GB2312" w:hint="eastAsia"/>
        </w:rPr>
        <w:t>、按照</w:t>
      </w:r>
      <w:r>
        <w:rPr>
          <w:rFonts w:eastAsia="仿宋_GB2312"/>
        </w:rPr>
        <w:t>GB/T</w:t>
      </w:r>
      <w:r>
        <w:rPr>
          <w:rFonts w:eastAsia="仿宋_GB2312" w:hint="eastAsia"/>
        </w:rPr>
        <w:t xml:space="preserve"> </w:t>
      </w:r>
      <w:r>
        <w:rPr>
          <w:rFonts w:eastAsia="仿宋_GB2312"/>
        </w:rPr>
        <w:t>1.1</w:t>
      </w:r>
      <w:r>
        <w:rPr>
          <w:rFonts w:eastAsia="仿宋_GB2312" w:hint="eastAsia"/>
        </w:rPr>
        <w:t>—</w:t>
      </w:r>
      <w:r>
        <w:rPr>
          <w:rFonts w:eastAsia="仿宋_GB2312"/>
        </w:rPr>
        <w:t>2020</w:t>
      </w:r>
      <w:r>
        <w:rPr>
          <w:rFonts w:eastAsia="仿宋_GB2312" w:hint="eastAsia"/>
        </w:rPr>
        <w:t>《标准化工作导则第</w:t>
      </w:r>
      <w:r>
        <w:rPr>
          <w:rFonts w:eastAsia="仿宋_GB2312"/>
        </w:rPr>
        <w:t>1</w:t>
      </w:r>
      <w:r>
        <w:rPr>
          <w:rFonts w:eastAsia="仿宋_GB2312" w:hint="eastAsia"/>
        </w:rPr>
        <w:t>部分：标准化文件的结构和起草规则》的相关要求和规定，编写本文件内容。</w:t>
      </w:r>
    </w:p>
    <w:p w14:paraId="34767349" w14:textId="77777777" w:rsidR="00A2664F" w:rsidRDefault="00000000">
      <w:pPr>
        <w:adjustRightInd w:val="0"/>
        <w:snapToGrid w:val="0"/>
        <w:rPr>
          <w:rFonts w:eastAsia="仿宋_GB2312"/>
        </w:rPr>
      </w:pPr>
      <w:r>
        <w:rPr>
          <w:rFonts w:eastAsia="仿宋_GB2312"/>
        </w:rPr>
        <w:t>2</w:t>
      </w:r>
      <w:r>
        <w:rPr>
          <w:rFonts w:eastAsia="仿宋_GB2312" w:hint="eastAsia"/>
        </w:rPr>
        <w:t>、</w:t>
      </w:r>
      <w:r>
        <w:rPr>
          <w:rFonts w:eastAsia="仿宋_GB2312"/>
        </w:rPr>
        <w:t>本文件以电子单证三元属性统一为基石，以全流程闭环可追溯为主线，遵循先进性、适用性、协调性和可操作性原则，明确船用燃料供应电子单证的基本原则、单证全流程管理程序及特殊场景与争议处置程序，为系列标准第</w:t>
      </w:r>
      <w:r>
        <w:rPr>
          <w:rFonts w:eastAsia="仿宋_GB2312"/>
        </w:rPr>
        <w:t>2</w:t>
      </w:r>
      <w:r>
        <w:rPr>
          <w:rFonts w:eastAsia="仿宋_GB2312"/>
        </w:rPr>
        <w:t>部分、第</w:t>
      </w:r>
      <w:r>
        <w:rPr>
          <w:rFonts w:eastAsia="仿宋_GB2312"/>
        </w:rPr>
        <w:t>3</w:t>
      </w:r>
      <w:r>
        <w:rPr>
          <w:rFonts w:eastAsia="仿宋_GB2312"/>
        </w:rPr>
        <w:t>部分提供通用技术框架</w:t>
      </w:r>
      <w:r>
        <w:rPr>
          <w:rFonts w:eastAsia="仿宋_GB2312" w:hint="eastAsia"/>
        </w:rPr>
        <w:t>。</w:t>
      </w:r>
    </w:p>
    <w:p w14:paraId="3F3180A6" w14:textId="77777777" w:rsidR="00A2664F" w:rsidRDefault="00000000">
      <w:pPr>
        <w:adjustRightInd w:val="0"/>
        <w:snapToGrid w:val="0"/>
        <w:spacing w:beforeLines="50" w:before="156" w:afterLines="50" w:after="156"/>
        <w:ind w:firstLine="643"/>
        <w:outlineLvl w:val="1"/>
        <w:rPr>
          <w:rFonts w:eastAsia="楷体" w:cs="楷体"/>
          <w:b/>
          <w:bCs/>
        </w:rPr>
      </w:pPr>
      <w:bookmarkStart w:id="7" w:name="_Toc215734341"/>
      <w:r>
        <w:rPr>
          <w:rFonts w:eastAsia="楷体" w:cs="楷体" w:hint="eastAsia"/>
          <w:b/>
          <w:bCs/>
        </w:rPr>
        <w:t>（二）主要技术内容及确定依据</w:t>
      </w:r>
      <w:bookmarkEnd w:id="7"/>
    </w:p>
    <w:p w14:paraId="692144EE" w14:textId="77777777" w:rsidR="00A2664F" w:rsidRDefault="00000000">
      <w:pPr>
        <w:pStyle w:val="a"/>
        <w:widowControl w:val="0"/>
        <w:numPr>
          <w:ilvl w:val="0"/>
          <w:numId w:val="0"/>
        </w:numPr>
        <w:adjustRightInd w:val="0"/>
        <w:snapToGrid w:val="0"/>
        <w:spacing w:beforeLines="50" w:before="156" w:afterLines="50" w:after="156" w:line="360" w:lineRule="auto"/>
        <w:ind w:firstLineChars="200" w:firstLine="640"/>
        <w:outlineLvl w:val="2"/>
        <w:rPr>
          <w:rFonts w:ascii="Times New Roman" w:eastAsia="仿宋_GB2312" w:cs="黑体"/>
          <w:sz w:val="32"/>
          <w:szCs w:val="32"/>
        </w:rPr>
      </w:pPr>
      <w:bookmarkStart w:id="8" w:name="_Toc466470257"/>
      <w:bookmarkStart w:id="9" w:name="_Toc215734342"/>
      <w:bookmarkStart w:id="10" w:name="_Toc466361599"/>
      <w:bookmarkStart w:id="11" w:name="_Toc477247002"/>
      <w:bookmarkStart w:id="12" w:name="_Toc26140"/>
      <w:bookmarkStart w:id="13" w:name="_Toc466470278"/>
      <w:bookmarkStart w:id="14" w:name="_Toc215709409"/>
      <w:bookmarkStart w:id="15" w:name="_Toc30969"/>
      <w:bookmarkStart w:id="16" w:name="_Toc28340"/>
      <w:bookmarkStart w:id="17" w:name="_Toc469992089"/>
      <w:r>
        <w:rPr>
          <w:rFonts w:ascii="Times New Roman" w:eastAsia="仿宋_GB2312" w:cs="黑体" w:hint="eastAsia"/>
          <w:sz w:val="32"/>
          <w:szCs w:val="32"/>
        </w:rPr>
        <w:t>1</w:t>
      </w:r>
      <w:r>
        <w:rPr>
          <w:rFonts w:ascii="Times New Roman" w:eastAsia="仿宋_GB2312" w:cs="黑体" w:hint="eastAsia"/>
          <w:sz w:val="32"/>
          <w:szCs w:val="32"/>
        </w:rPr>
        <w:t>、范围</w:t>
      </w:r>
      <w:bookmarkEnd w:id="8"/>
      <w:bookmarkEnd w:id="9"/>
      <w:bookmarkEnd w:id="10"/>
      <w:bookmarkEnd w:id="11"/>
      <w:bookmarkEnd w:id="12"/>
      <w:bookmarkEnd w:id="13"/>
      <w:bookmarkEnd w:id="14"/>
      <w:bookmarkEnd w:id="15"/>
      <w:bookmarkEnd w:id="16"/>
      <w:bookmarkEnd w:id="17"/>
    </w:p>
    <w:p w14:paraId="3C5E5C7E" w14:textId="51E0982E" w:rsidR="00A2664F" w:rsidRDefault="00000000">
      <w:pPr>
        <w:pStyle w:val="aff5"/>
        <w:widowControl w:val="0"/>
        <w:adjustRightInd w:val="0"/>
        <w:snapToGrid w:val="0"/>
        <w:spacing w:line="360" w:lineRule="auto"/>
        <w:ind w:firstLine="640"/>
        <w:rPr>
          <w:rFonts w:ascii="Times New Roman" w:eastAsia="仿宋_GB2312"/>
          <w:sz w:val="32"/>
          <w:szCs w:val="32"/>
        </w:rPr>
      </w:pPr>
      <w:r>
        <w:rPr>
          <w:rFonts w:ascii="Times New Roman" w:eastAsia="仿宋_GB2312" w:hint="eastAsia"/>
          <w:sz w:val="32"/>
          <w:szCs w:val="32"/>
        </w:rPr>
        <w:lastRenderedPageBreak/>
        <w:t>本</w:t>
      </w:r>
      <w:r>
        <w:rPr>
          <w:rFonts w:ascii="Times New Roman" w:eastAsia="仿宋_GB2312"/>
          <w:sz w:val="32"/>
          <w:szCs w:val="32"/>
        </w:rPr>
        <w:t>文件规定了船用燃料供应电子单证技术规范的术语和定义、</w:t>
      </w:r>
      <w:r>
        <w:rPr>
          <w:rFonts w:ascii="Times New Roman" w:eastAsia="仿宋_GB2312" w:hint="eastAsia"/>
          <w:sz w:val="32"/>
          <w:szCs w:val="32"/>
        </w:rPr>
        <w:t>一般</w:t>
      </w:r>
      <w:r>
        <w:rPr>
          <w:rFonts w:ascii="Times New Roman" w:eastAsia="仿宋_GB2312"/>
          <w:sz w:val="32"/>
          <w:szCs w:val="32"/>
        </w:rPr>
        <w:t>原则、单证全流程管理程序、特殊场景与争议处置程序，适用于国际航行船舶燃料加注电子单证</w:t>
      </w:r>
      <w:r>
        <w:rPr>
          <w:rFonts w:ascii="Times New Roman" w:eastAsia="仿宋_GB2312" w:hint="eastAsia"/>
          <w:sz w:val="32"/>
          <w:szCs w:val="32"/>
        </w:rPr>
        <w:t>的</w:t>
      </w:r>
      <w:r>
        <w:rPr>
          <w:rFonts w:ascii="Times New Roman" w:eastAsia="仿宋_GB2312"/>
          <w:sz w:val="32"/>
          <w:szCs w:val="32"/>
        </w:rPr>
        <w:t>生成、签署、登记、流转、核验、归档、监管等活动</w:t>
      </w:r>
      <w:r>
        <w:rPr>
          <w:rFonts w:ascii="Times New Roman" w:eastAsia="仿宋_GB2312" w:hint="eastAsia"/>
          <w:sz w:val="32"/>
          <w:szCs w:val="32"/>
        </w:rPr>
        <w:t>。</w:t>
      </w:r>
    </w:p>
    <w:p w14:paraId="0B0F152F" w14:textId="77777777" w:rsidR="00A2664F" w:rsidRDefault="00000000">
      <w:pPr>
        <w:pStyle w:val="aff5"/>
        <w:widowControl w:val="0"/>
        <w:adjustRightInd w:val="0"/>
        <w:snapToGrid w:val="0"/>
        <w:spacing w:line="360" w:lineRule="auto"/>
        <w:ind w:firstLine="643"/>
        <w:rPr>
          <w:rFonts w:ascii="Times New Roman" w:eastAsia="仿宋_GB2312"/>
          <w:b/>
          <w:bCs/>
          <w:sz w:val="32"/>
          <w:szCs w:val="32"/>
        </w:rPr>
      </w:pPr>
      <w:r>
        <w:rPr>
          <w:rFonts w:ascii="Times New Roman" w:eastAsia="仿宋_GB2312" w:hint="eastAsia"/>
          <w:b/>
          <w:bCs/>
          <w:sz w:val="32"/>
          <w:szCs w:val="32"/>
        </w:rPr>
        <w:t>理由及依据：</w:t>
      </w:r>
    </w:p>
    <w:p w14:paraId="5CAC6385" w14:textId="33147392" w:rsidR="00A2664F" w:rsidRDefault="00000000">
      <w:pPr>
        <w:pStyle w:val="aff5"/>
        <w:widowControl w:val="0"/>
        <w:adjustRightInd w:val="0"/>
        <w:snapToGrid w:val="0"/>
        <w:spacing w:line="360" w:lineRule="auto"/>
        <w:ind w:firstLine="640"/>
        <w:rPr>
          <w:rFonts w:ascii="Times New Roman" w:eastAsia="仿宋_GB2312"/>
          <w:kern w:val="2"/>
          <w:sz w:val="32"/>
          <w:szCs w:val="32"/>
          <w14:ligatures w14:val="standardContextual"/>
        </w:rPr>
      </w:pPr>
      <w:r>
        <w:rPr>
          <w:rFonts w:ascii="Times New Roman" w:eastAsia="仿宋_GB2312"/>
          <w:sz w:val="32"/>
          <w:szCs w:val="32"/>
        </w:rPr>
        <w:t>本文件聚焦国际航行船舶燃料加注这一高频、强监管场景，将电子单证的全生命周期活动纳入统一规范。范围表述与</w:t>
      </w:r>
      <w:r>
        <w:rPr>
          <w:rFonts w:ascii="Times New Roman" w:eastAsia="仿宋_GB2312"/>
          <w:sz w:val="32"/>
          <w:szCs w:val="32"/>
        </w:rPr>
        <w:t>GB/T 25346—2020</w:t>
      </w:r>
      <w:r>
        <w:rPr>
          <w:rFonts w:ascii="Times New Roman" w:eastAsia="仿宋_GB2312"/>
          <w:sz w:val="32"/>
          <w:szCs w:val="32"/>
        </w:rPr>
        <w:t>《</w:t>
      </w:r>
      <w:r w:rsidR="00B55653" w:rsidRPr="00B55653">
        <w:rPr>
          <w:rFonts w:ascii="Times New Roman" w:eastAsia="仿宋_GB2312"/>
          <w:sz w:val="32"/>
          <w:szCs w:val="32"/>
        </w:rPr>
        <w:t>船舶供受燃油规程</w:t>
      </w:r>
      <w:r>
        <w:rPr>
          <w:rFonts w:ascii="Times New Roman" w:eastAsia="仿宋_GB2312"/>
          <w:sz w:val="32"/>
          <w:szCs w:val="32"/>
        </w:rPr>
        <w:t>》的作业流程相衔接，明确本文件对单证侧活动的约束边界，与第</w:t>
      </w:r>
      <w:r>
        <w:rPr>
          <w:rFonts w:ascii="Times New Roman" w:eastAsia="仿宋_GB2312"/>
          <w:sz w:val="32"/>
          <w:szCs w:val="32"/>
        </w:rPr>
        <w:t>2</w:t>
      </w:r>
      <w:r>
        <w:rPr>
          <w:rFonts w:ascii="Times New Roman" w:eastAsia="仿宋_GB2312"/>
          <w:sz w:val="32"/>
          <w:szCs w:val="32"/>
        </w:rPr>
        <w:t>部分（信息平台与数据接口）、第</w:t>
      </w:r>
      <w:r>
        <w:rPr>
          <w:rFonts w:ascii="Times New Roman" w:eastAsia="仿宋_GB2312"/>
          <w:sz w:val="32"/>
          <w:szCs w:val="32"/>
        </w:rPr>
        <w:t>3</w:t>
      </w:r>
      <w:r>
        <w:rPr>
          <w:rFonts w:ascii="Times New Roman" w:eastAsia="仿宋_GB2312"/>
          <w:sz w:val="32"/>
          <w:szCs w:val="32"/>
        </w:rPr>
        <w:t>部分（辅助单据基本信息）形成分层体系。</w:t>
      </w:r>
    </w:p>
    <w:p w14:paraId="5C72CF0A" w14:textId="77777777" w:rsidR="00A2664F" w:rsidRDefault="00000000">
      <w:pPr>
        <w:pStyle w:val="a"/>
        <w:widowControl w:val="0"/>
        <w:numPr>
          <w:ilvl w:val="0"/>
          <w:numId w:val="0"/>
        </w:numPr>
        <w:adjustRightInd w:val="0"/>
        <w:snapToGrid w:val="0"/>
        <w:spacing w:beforeLines="50" w:before="156" w:afterLines="50" w:after="156" w:line="360" w:lineRule="auto"/>
        <w:ind w:firstLineChars="200" w:firstLine="640"/>
        <w:outlineLvl w:val="2"/>
        <w:rPr>
          <w:rFonts w:ascii="Times New Roman" w:eastAsia="仿宋_GB2312" w:cs="黑体"/>
          <w:sz w:val="32"/>
          <w:szCs w:val="32"/>
        </w:rPr>
      </w:pPr>
      <w:bookmarkStart w:id="18" w:name="_Toc466470279"/>
      <w:bookmarkStart w:id="19" w:name="_Toc25876"/>
      <w:bookmarkStart w:id="20" w:name="_Toc466470258"/>
      <w:bookmarkStart w:id="21" w:name="_Toc896"/>
      <w:bookmarkStart w:id="22" w:name="_Toc466361600"/>
      <w:bookmarkStart w:id="23" w:name="_Toc8330"/>
      <w:bookmarkStart w:id="24" w:name="_Toc215734343"/>
      <w:bookmarkStart w:id="25" w:name="_Toc469992090"/>
      <w:bookmarkStart w:id="26" w:name="_Toc215709410"/>
      <w:bookmarkStart w:id="27" w:name="_Toc477247003"/>
      <w:bookmarkStart w:id="28" w:name="_Toc12481"/>
      <w:bookmarkStart w:id="29" w:name="_Toc31175"/>
      <w:bookmarkStart w:id="30" w:name="_Toc28384"/>
      <w:bookmarkStart w:id="31" w:name="_Toc28327"/>
      <w:bookmarkStart w:id="32" w:name="_Toc8123"/>
      <w:r>
        <w:rPr>
          <w:rFonts w:ascii="Times New Roman" w:eastAsia="仿宋_GB2312" w:cs="黑体" w:hint="eastAsia"/>
          <w:sz w:val="32"/>
          <w:szCs w:val="32"/>
        </w:rPr>
        <w:t>2</w:t>
      </w:r>
      <w:r>
        <w:rPr>
          <w:rFonts w:ascii="Times New Roman" w:eastAsia="仿宋_GB2312" w:cs="黑体" w:hint="eastAsia"/>
          <w:sz w:val="32"/>
          <w:szCs w:val="32"/>
        </w:rPr>
        <w:t>、规范性引用文件</w:t>
      </w:r>
      <w:bookmarkEnd w:id="18"/>
      <w:bookmarkEnd w:id="19"/>
      <w:bookmarkEnd w:id="20"/>
      <w:bookmarkEnd w:id="21"/>
      <w:bookmarkEnd w:id="22"/>
      <w:bookmarkEnd w:id="23"/>
      <w:bookmarkEnd w:id="24"/>
      <w:bookmarkEnd w:id="25"/>
      <w:bookmarkEnd w:id="26"/>
      <w:bookmarkEnd w:id="27"/>
    </w:p>
    <w:bookmarkEnd w:id="28"/>
    <w:bookmarkEnd w:id="29"/>
    <w:bookmarkEnd w:id="30"/>
    <w:bookmarkEnd w:id="31"/>
    <w:bookmarkEnd w:id="32"/>
    <w:p w14:paraId="3B7D97C9" w14:textId="72B70B4A" w:rsidR="00A2664F" w:rsidRDefault="00000000">
      <w:pPr>
        <w:adjustRightInd w:val="0"/>
        <w:snapToGrid w:val="0"/>
        <w:rPr>
          <w:rFonts w:eastAsia="仿宋_GB2312"/>
        </w:rPr>
      </w:pPr>
      <w:r>
        <w:rPr>
          <w:rFonts w:eastAsia="仿宋_GB2312"/>
        </w:rPr>
        <w:t>本文件列出了构成其必不可少条款的规范性引用文件，包括</w:t>
      </w:r>
      <w:r>
        <w:rPr>
          <w:rFonts w:eastAsia="仿宋_GB2312"/>
        </w:rPr>
        <w:t>GB/T 7408.1—2023</w:t>
      </w:r>
      <w:r>
        <w:rPr>
          <w:rFonts w:eastAsia="仿宋_GB2312"/>
        </w:rPr>
        <w:t>《日期和时间信息交换表示法</w:t>
      </w:r>
      <w:r>
        <w:rPr>
          <w:rFonts w:eastAsia="仿宋_GB2312"/>
        </w:rPr>
        <w:t xml:space="preserve"> </w:t>
      </w:r>
      <w:r>
        <w:rPr>
          <w:rFonts w:eastAsia="仿宋_GB2312"/>
        </w:rPr>
        <w:t>第</w:t>
      </w:r>
      <w:r>
        <w:rPr>
          <w:rFonts w:eastAsia="仿宋_GB2312"/>
        </w:rPr>
        <w:t>1</w:t>
      </w:r>
      <w:r>
        <w:rPr>
          <w:rFonts w:eastAsia="仿宋_GB2312"/>
        </w:rPr>
        <w:t>部分：基本原则》、</w:t>
      </w:r>
      <w:r>
        <w:rPr>
          <w:rFonts w:eastAsia="仿宋_GB2312"/>
        </w:rPr>
        <w:t>GB/T 25064</w:t>
      </w:r>
      <w:r>
        <w:rPr>
          <w:rFonts w:eastAsia="仿宋_GB2312"/>
        </w:rPr>
        <w:t>《信息安全技术</w:t>
      </w:r>
      <w:r>
        <w:rPr>
          <w:rFonts w:eastAsia="仿宋_GB2312"/>
        </w:rPr>
        <w:t xml:space="preserve"> </w:t>
      </w:r>
      <w:r>
        <w:rPr>
          <w:rFonts w:eastAsia="仿宋_GB2312"/>
        </w:rPr>
        <w:t>电子签名格式规范》、</w:t>
      </w:r>
      <w:r>
        <w:rPr>
          <w:rFonts w:eastAsia="仿宋_GB2312"/>
        </w:rPr>
        <w:t>GB/T 25346—2020</w:t>
      </w:r>
      <w:r>
        <w:rPr>
          <w:rFonts w:eastAsia="仿宋_GB2312"/>
        </w:rPr>
        <w:t>《</w:t>
      </w:r>
      <w:r w:rsidR="00B55653" w:rsidRPr="00B55653">
        <w:rPr>
          <w:rFonts w:eastAsia="仿宋_GB2312"/>
        </w:rPr>
        <w:t>船舶供受燃油规程</w:t>
      </w:r>
      <w:r>
        <w:rPr>
          <w:rFonts w:eastAsia="仿宋_GB2312"/>
        </w:rPr>
        <w:t>》、</w:t>
      </w:r>
      <w:r>
        <w:rPr>
          <w:rFonts w:eastAsia="仿宋_GB2312"/>
        </w:rPr>
        <w:t>GB/T 35285—2017</w:t>
      </w:r>
      <w:r>
        <w:rPr>
          <w:rFonts w:eastAsia="仿宋_GB2312"/>
        </w:rPr>
        <w:t>《信息安全技术</w:t>
      </w:r>
      <w:r>
        <w:rPr>
          <w:rFonts w:eastAsia="仿宋_GB2312"/>
        </w:rPr>
        <w:t xml:space="preserve"> </w:t>
      </w:r>
      <w:r>
        <w:rPr>
          <w:rFonts w:eastAsia="仿宋_GB2312"/>
        </w:rPr>
        <w:t>公钥基础设施</w:t>
      </w:r>
      <w:r>
        <w:rPr>
          <w:rFonts w:eastAsia="仿宋_GB2312"/>
        </w:rPr>
        <w:t xml:space="preserve"> </w:t>
      </w:r>
      <w:r>
        <w:rPr>
          <w:rFonts w:eastAsia="仿宋_GB2312"/>
        </w:rPr>
        <w:t>基于数字证书的可靠电子签名生成及验证技术要求》，以及系列标准第</w:t>
      </w:r>
      <w:r>
        <w:rPr>
          <w:rFonts w:eastAsia="仿宋_GB2312"/>
        </w:rPr>
        <w:t>2</w:t>
      </w:r>
      <w:r>
        <w:rPr>
          <w:rFonts w:eastAsia="仿宋_GB2312"/>
        </w:rPr>
        <w:t>部分</w:t>
      </w:r>
      <w:r>
        <w:rPr>
          <w:rFonts w:eastAsia="仿宋_GB2312"/>
        </w:rPr>
        <w:t>T/CBS 2222</w:t>
      </w:r>
      <w:r>
        <w:rPr>
          <w:rFonts w:eastAsia="仿宋_GB2312"/>
        </w:rPr>
        <w:t>、第</w:t>
      </w:r>
      <w:r>
        <w:rPr>
          <w:rFonts w:eastAsia="仿宋_GB2312"/>
        </w:rPr>
        <w:t>3</w:t>
      </w:r>
      <w:r>
        <w:rPr>
          <w:rFonts w:eastAsia="仿宋_GB2312"/>
        </w:rPr>
        <w:t>部分</w:t>
      </w:r>
      <w:r>
        <w:rPr>
          <w:rFonts w:eastAsia="仿宋_GB2312"/>
        </w:rPr>
        <w:t>T/CBS 3333</w:t>
      </w:r>
      <w:r>
        <w:rPr>
          <w:rFonts w:eastAsia="仿宋_GB2312" w:hint="eastAsia"/>
        </w:rPr>
        <w:t>。</w:t>
      </w:r>
    </w:p>
    <w:p w14:paraId="5C34DC19" w14:textId="77777777" w:rsidR="00A2664F" w:rsidRDefault="00000000">
      <w:pPr>
        <w:pStyle w:val="aff5"/>
        <w:widowControl w:val="0"/>
        <w:adjustRightInd w:val="0"/>
        <w:snapToGrid w:val="0"/>
        <w:spacing w:line="360" w:lineRule="auto"/>
        <w:ind w:firstLine="643"/>
        <w:rPr>
          <w:rFonts w:ascii="Times New Roman" w:eastAsia="仿宋_GB2312"/>
          <w:b/>
          <w:bCs/>
          <w:sz w:val="32"/>
          <w:szCs w:val="32"/>
        </w:rPr>
      </w:pPr>
      <w:r>
        <w:rPr>
          <w:rFonts w:ascii="Times New Roman" w:eastAsia="仿宋_GB2312"/>
          <w:b/>
          <w:bCs/>
          <w:sz w:val="32"/>
          <w:szCs w:val="32"/>
        </w:rPr>
        <w:t>理由及依据：</w:t>
      </w:r>
    </w:p>
    <w:p w14:paraId="72ECA25D" w14:textId="77777777" w:rsidR="00A2664F" w:rsidRDefault="00000000">
      <w:pPr>
        <w:pStyle w:val="aff5"/>
        <w:widowControl w:val="0"/>
        <w:adjustRightInd w:val="0"/>
        <w:snapToGrid w:val="0"/>
        <w:spacing w:line="360" w:lineRule="auto"/>
        <w:ind w:firstLine="640"/>
        <w:rPr>
          <w:rFonts w:ascii="Times New Roman" w:eastAsia="仿宋_GB2312"/>
          <w:sz w:val="32"/>
          <w:szCs w:val="32"/>
        </w:rPr>
      </w:pPr>
      <w:r>
        <w:rPr>
          <w:rFonts w:ascii="Times New Roman" w:eastAsia="仿宋_GB2312"/>
          <w:sz w:val="32"/>
          <w:szCs w:val="32"/>
        </w:rPr>
        <w:t>引用文件的选择遵循业务必需、版本现行原则。</w:t>
      </w:r>
      <w:r>
        <w:rPr>
          <w:rFonts w:ascii="Times New Roman" w:eastAsia="仿宋_GB2312"/>
          <w:sz w:val="32"/>
          <w:szCs w:val="32"/>
        </w:rPr>
        <w:t>GB/T 25346—2020</w:t>
      </w:r>
      <w:r>
        <w:rPr>
          <w:rFonts w:ascii="Times New Roman" w:eastAsia="仿宋_GB2312"/>
          <w:sz w:val="32"/>
          <w:szCs w:val="32"/>
        </w:rPr>
        <w:t>直接规定燃油供受作业流程，是本文件业务流</w:t>
      </w:r>
      <w:r>
        <w:rPr>
          <w:rFonts w:ascii="Times New Roman" w:eastAsia="仿宋_GB2312"/>
          <w:sz w:val="32"/>
          <w:szCs w:val="32"/>
        </w:rPr>
        <w:lastRenderedPageBreak/>
        <w:t>程衔接的直接依据；</w:t>
      </w:r>
      <w:r>
        <w:rPr>
          <w:rFonts w:ascii="Times New Roman" w:eastAsia="仿宋_GB2312"/>
          <w:sz w:val="32"/>
          <w:szCs w:val="32"/>
        </w:rPr>
        <w:t>GB/T 35285—2017</w:t>
      </w:r>
      <w:r>
        <w:rPr>
          <w:rFonts w:ascii="Times New Roman" w:eastAsia="仿宋_GB2312"/>
          <w:sz w:val="32"/>
          <w:szCs w:val="32"/>
        </w:rPr>
        <w:t>、</w:t>
      </w:r>
      <w:r>
        <w:rPr>
          <w:rFonts w:ascii="Times New Roman" w:eastAsia="仿宋_GB2312"/>
          <w:sz w:val="32"/>
          <w:szCs w:val="32"/>
        </w:rPr>
        <w:t>GB/T 25064</w:t>
      </w:r>
      <w:r>
        <w:rPr>
          <w:rFonts w:ascii="Times New Roman" w:eastAsia="仿宋_GB2312"/>
          <w:sz w:val="32"/>
          <w:szCs w:val="32"/>
        </w:rPr>
        <w:t>是可靠电子签名生成、存储、验证的国家标准依据，支撑本文件</w:t>
      </w:r>
      <w:r>
        <w:rPr>
          <w:rFonts w:ascii="Times New Roman" w:eastAsia="仿宋_GB2312"/>
          <w:sz w:val="32"/>
          <w:szCs w:val="32"/>
        </w:rPr>
        <w:t>“</w:t>
      </w:r>
      <w:r>
        <w:rPr>
          <w:rFonts w:ascii="Times New Roman" w:eastAsia="仿宋_GB2312"/>
          <w:sz w:val="32"/>
          <w:szCs w:val="32"/>
        </w:rPr>
        <w:t>可验证性</w:t>
      </w:r>
      <w:r>
        <w:rPr>
          <w:rFonts w:ascii="Times New Roman" w:eastAsia="仿宋_GB2312"/>
          <w:sz w:val="32"/>
          <w:szCs w:val="32"/>
        </w:rPr>
        <w:t>”</w:t>
      </w:r>
      <w:r>
        <w:rPr>
          <w:rFonts w:ascii="Times New Roman" w:eastAsia="仿宋_GB2312"/>
          <w:sz w:val="32"/>
          <w:szCs w:val="32"/>
        </w:rPr>
        <w:t>与签署条款；</w:t>
      </w:r>
      <w:r>
        <w:rPr>
          <w:rFonts w:ascii="Times New Roman" w:eastAsia="仿宋_GB2312"/>
          <w:sz w:val="32"/>
          <w:szCs w:val="32"/>
        </w:rPr>
        <w:t>GB/T 7408.1—2023</w:t>
      </w:r>
      <w:r>
        <w:rPr>
          <w:rFonts w:ascii="Times New Roman" w:eastAsia="仿宋_GB2312"/>
          <w:sz w:val="32"/>
          <w:szCs w:val="32"/>
        </w:rPr>
        <w:t>保证时间信息的规范化表示。对注日期与不注日期引用文件的处理，严格遵循</w:t>
      </w:r>
      <w:r>
        <w:rPr>
          <w:rFonts w:ascii="Times New Roman" w:eastAsia="仿宋_GB2312"/>
          <w:sz w:val="32"/>
          <w:szCs w:val="32"/>
        </w:rPr>
        <w:t>GB/T 1.1—2020</w:t>
      </w:r>
      <w:r>
        <w:rPr>
          <w:rFonts w:ascii="Times New Roman" w:eastAsia="仿宋_GB2312"/>
          <w:sz w:val="32"/>
          <w:szCs w:val="32"/>
        </w:rPr>
        <w:t>的规定。</w:t>
      </w:r>
    </w:p>
    <w:p w14:paraId="7B1DD094" w14:textId="77777777" w:rsidR="00A2664F" w:rsidRDefault="00000000">
      <w:pPr>
        <w:pStyle w:val="a"/>
        <w:widowControl w:val="0"/>
        <w:numPr>
          <w:ilvl w:val="0"/>
          <w:numId w:val="0"/>
        </w:numPr>
        <w:adjustRightInd w:val="0"/>
        <w:snapToGrid w:val="0"/>
        <w:spacing w:beforeLines="50" w:before="156" w:afterLines="50" w:after="156" w:line="360" w:lineRule="auto"/>
        <w:ind w:firstLineChars="200" w:firstLine="640"/>
        <w:outlineLvl w:val="2"/>
        <w:rPr>
          <w:rFonts w:ascii="Times New Roman" w:eastAsia="仿宋_GB2312" w:cs="黑体"/>
          <w:sz w:val="32"/>
          <w:szCs w:val="32"/>
        </w:rPr>
      </w:pPr>
      <w:bookmarkStart w:id="33" w:name="_Toc7892"/>
      <w:bookmarkStart w:id="34" w:name="_Toc477247004"/>
      <w:bookmarkStart w:id="35" w:name="_Toc12529"/>
      <w:bookmarkStart w:id="36" w:name="_Toc466470259"/>
      <w:bookmarkStart w:id="37" w:name="_Toc469992091"/>
      <w:bookmarkStart w:id="38" w:name="_Toc215734344"/>
      <w:bookmarkStart w:id="39" w:name="_Toc23743"/>
      <w:bookmarkStart w:id="40" w:name="_Toc466470280"/>
      <w:bookmarkStart w:id="41" w:name="_Toc215709411"/>
      <w:r>
        <w:rPr>
          <w:rFonts w:ascii="Times New Roman" w:eastAsia="仿宋_GB2312" w:cs="黑体" w:hint="eastAsia"/>
          <w:sz w:val="32"/>
          <w:szCs w:val="32"/>
        </w:rPr>
        <w:t>3</w:t>
      </w:r>
      <w:r>
        <w:rPr>
          <w:rFonts w:ascii="Times New Roman" w:eastAsia="仿宋_GB2312" w:cs="黑体" w:hint="eastAsia"/>
          <w:sz w:val="32"/>
          <w:szCs w:val="32"/>
        </w:rPr>
        <w:t>、术语和定义</w:t>
      </w:r>
      <w:bookmarkEnd w:id="33"/>
      <w:bookmarkEnd w:id="34"/>
      <w:bookmarkEnd w:id="35"/>
      <w:bookmarkEnd w:id="36"/>
      <w:bookmarkEnd w:id="37"/>
      <w:bookmarkEnd w:id="38"/>
      <w:bookmarkEnd w:id="39"/>
      <w:bookmarkEnd w:id="40"/>
      <w:bookmarkEnd w:id="41"/>
    </w:p>
    <w:p w14:paraId="41D7B547" w14:textId="7338F9AF" w:rsidR="00A2664F" w:rsidRDefault="00000000">
      <w:pPr>
        <w:adjustRightInd w:val="0"/>
        <w:snapToGrid w:val="0"/>
        <w:rPr>
          <w:rFonts w:eastAsia="仿宋_GB2312"/>
        </w:rPr>
      </w:pPr>
      <w:bookmarkStart w:id="42" w:name="_Toc4867"/>
      <w:bookmarkStart w:id="43" w:name="_Toc22796"/>
      <w:bookmarkStart w:id="44" w:name="_Toc28157"/>
      <w:bookmarkStart w:id="45" w:name="_Toc30383"/>
      <w:bookmarkStart w:id="46" w:name="_Toc4232"/>
      <w:bookmarkStart w:id="47" w:name="_Toc21194"/>
      <w:r>
        <w:rPr>
          <w:rFonts w:eastAsia="仿宋_GB2312"/>
        </w:rPr>
        <w:t>本文件规定了</w:t>
      </w:r>
      <w:r>
        <w:rPr>
          <w:rFonts w:eastAsia="仿宋_GB2312"/>
        </w:rPr>
        <w:t>11</w:t>
      </w:r>
      <w:r>
        <w:rPr>
          <w:rFonts w:eastAsia="仿宋_GB2312"/>
        </w:rPr>
        <w:t>条主要术语和定义，包括船用燃料加注电子单证（</w:t>
      </w:r>
      <w:r>
        <w:rPr>
          <w:rFonts w:eastAsia="仿宋_GB2312"/>
        </w:rPr>
        <w:t>e-BDN</w:t>
      </w:r>
      <w:r>
        <w:rPr>
          <w:rFonts w:eastAsia="仿宋_GB2312"/>
        </w:rPr>
        <w:t>）、人可读、机器可解释、可验证性、</w:t>
      </w:r>
      <w:r>
        <w:rPr>
          <w:rFonts w:eastAsia="仿宋_GB2312"/>
        </w:rPr>
        <w:t>e-BDN</w:t>
      </w:r>
      <w:r>
        <w:rPr>
          <w:rFonts w:eastAsia="仿宋_GB2312"/>
        </w:rPr>
        <w:t>信息平台、签发方、登记方、平台运营方、主单、辅助单据、燃料加注计量系统等。其中，</w:t>
      </w:r>
      <w:r>
        <w:rPr>
          <w:rFonts w:eastAsia="仿宋_GB2312"/>
        </w:rPr>
        <w:t>e-BDN</w:t>
      </w:r>
      <w:r>
        <w:rPr>
          <w:rFonts w:eastAsia="仿宋_GB2312"/>
        </w:rPr>
        <w:t>被定义为同时具备人可读、机器可解释、可验证三大属性，用于记录船用燃料加注供应链全流程业务活动的单元化数字单证，是船用燃料加注业务的凭证、贸易结算依据与监管申报载体</w:t>
      </w:r>
      <w:r>
        <w:rPr>
          <w:rFonts w:eastAsia="仿宋_GB2312" w:hint="eastAsia"/>
        </w:rPr>
        <w:t>。</w:t>
      </w:r>
    </w:p>
    <w:p w14:paraId="0B5233D9" w14:textId="77777777" w:rsidR="00A2664F" w:rsidRDefault="00000000">
      <w:pPr>
        <w:adjustRightInd w:val="0"/>
        <w:snapToGrid w:val="0"/>
        <w:ind w:firstLine="643"/>
        <w:rPr>
          <w:rFonts w:eastAsia="仿宋_GB2312"/>
          <w:b/>
          <w:bCs/>
        </w:rPr>
      </w:pPr>
      <w:r>
        <w:rPr>
          <w:rFonts w:eastAsia="仿宋_GB2312" w:hint="eastAsia"/>
          <w:b/>
          <w:bCs/>
        </w:rPr>
        <w:t>理由及依据：</w:t>
      </w:r>
    </w:p>
    <w:p w14:paraId="6B9BB125" w14:textId="77777777" w:rsidR="00A2664F" w:rsidRDefault="00000000">
      <w:pPr>
        <w:autoSpaceDE w:val="0"/>
        <w:autoSpaceDN w:val="0"/>
        <w:spacing w:line="240" w:lineRule="auto"/>
        <w:rPr>
          <w:rFonts w:eastAsia="仿宋_GB2312"/>
        </w:rPr>
      </w:pPr>
      <w:r>
        <w:rPr>
          <w:rFonts w:eastAsia="仿宋_GB2312"/>
        </w:rPr>
        <w:t>术语界定旨在统一行业理解、消除歧义。核心术语</w:t>
      </w:r>
      <w:r>
        <w:rPr>
          <w:rFonts w:eastAsia="仿宋_GB2312"/>
        </w:rPr>
        <w:t>e-BDN</w:t>
      </w:r>
      <w:r>
        <w:rPr>
          <w:rFonts w:eastAsia="仿宋_GB2312"/>
        </w:rPr>
        <w:t>突出三元属性这一根本特征，与</w:t>
      </w:r>
      <w:r>
        <w:rPr>
          <w:rFonts w:eastAsia="仿宋_GB2312"/>
        </w:rPr>
        <w:t>IMO A.1119</w:t>
      </w:r>
      <w:proofErr w:type="gramStart"/>
      <w:r>
        <w:rPr>
          <w:rFonts w:eastAsia="仿宋_GB2312"/>
        </w:rPr>
        <w:t>(30)</w:t>
      </w:r>
      <w:proofErr w:type="gramEnd"/>
      <w:r>
        <w:rPr>
          <w:rFonts w:eastAsia="仿宋_GB2312"/>
        </w:rPr>
        <w:t>中</w:t>
      </w:r>
      <w:r>
        <w:rPr>
          <w:rFonts w:eastAsia="仿宋_GB2312"/>
        </w:rPr>
        <w:t>BDN</w:t>
      </w:r>
      <w:r>
        <w:rPr>
          <w:rFonts w:eastAsia="仿宋_GB2312"/>
        </w:rPr>
        <w:t>的物理单证定位相区分，体现电子化升级。签发方</w:t>
      </w:r>
      <w:r>
        <w:rPr>
          <w:rFonts w:eastAsia="仿宋_GB2312" w:hint="eastAsia"/>
        </w:rPr>
        <w:t>、</w:t>
      </w:r>
      <w:r>
        <w:rPr>
          <w:rFonts w:eastAsia="仿宋_GB2312"/>
        </w:rPr>
        <w:t>登记方</w:t>
      </w:r>
      <w:r>
        <w:rPr>
          <w:rFonts w:eastAsia="仿宋_GB2312" w:hint="eastAsia"/>
        </w:rPr>
        <w:t>、</w:t>
      </w:r>
      <w:r>
        <w:rPr>
          <w:rFonts w:eastAsia="仿宋_GB2312"/>
        </w:rPr>
        <w:t>平台运营方三者的责任划分，借鉴了电子证照、电子合同等成熟电子凭证体系中制证</w:t>
      </w:r>
      <w:r>
        <w:rPr>
          <w:rFonts w:eastAsia="仿宋_GB2312" w:hint="eastAsia"/>
        </w:rPr>
        <w:t>、</w:t>
      </w:r>
      <w:r>
        <w:rPr>
          <w:rFonts w:eastAsia="仿宋_GB2312"/>
        </w:rPr>
        <w:t>登记</w:t>
      </w:r>
      <w:r>
        <w:rPr>
          <w:rFonts w:eastAsia="仿宋_GB2312" w:hint="eastAsia"/>
        </w:rPr>
        <w:t>、</w:t>
      </w:r>
      <w:r>
        <w:rPr>
          <w:rFonts w:eastAsia="仿宋_GB2312"/>
        </w:rPr>
        <w:t>运维分离的职责设计；主单</w:t>
      </w:r>
      <w:r>
        <w:rPr>
          <w:rFonts w:eastAsia="仿宋_GB2312" w:hint="eastAsia"/>
        </w:rPr>
        <w:t>、</w:t>
      </w:r>
      <w:r>
        <w:rPr>
          <w:rFonts w:eastAsia="仿宋_GB2312"/>
        </w:rPr>
        <w:t>辅助单据的区分沿用</w:t>
      </w:r>
      <w:r>
        <w:rPr>
          <w:rFonts w:eastAsia="仿宋_GB2312"/>
        </w:rPr>
        <w:t>GB/T 25346—2020</w:t>
      </w:r>
      <w:r>
        <w:rPr>
          <w:rFonts w:eastAsia="仿宋_GB2312"/>
        </w:rPr>
        <w:t>中</w:t>
      </w:r>
      <w:r>
        <w:rPr>
          <w:rFonts w:eastAsia="仿宋_GB2312"/>
        </w:rPr>
        <w:lastRenderedPageBreak/>
        <w:t>BDN</w:t>
      </w:r>
      <w:r>
        <w:rPr>
          <w:rFonts w:eastAsia="仿宋_GB2312"/>
        </w:rPr>
        <w:t>作为基础交付凭证的定位，并扩展计量、质量、交易、安全等配套单据。</w:t>
      </w:r>
    </w:p>
    <w:p w14:paraId="4EE7C3D0" w14:textId="77777777" w:rsidR="00A2664F" w:rsidRDefault="00000000">
      <w:pPr>
        <w:pStyle w:val="a"/>
        <w:widowControl w:val="0"/>
        <w:numPr>
          <w:ilvl w:val="0"/>
          <w:numId w:val="0"/>
        </w:numPr>
        <w:adjustRightInd w:val="0"/>
        <w:snapToGrid w:val="0"/>
        <w:spacing w:beforeLines="50" w:before="156" w:afterLines="50" w:after="156" w:line="360" w:lineRule="auto"/>
        <w:ind w:firstLineChars="200" w:firstLine="640"/>
        <w:outlineLvl w:val="2"/>
        <w:rPr>
          <w:rFonts w:ascii="Times New Roman" w:eastAsia="仿宋_GB2312" w:cs="黑体"/>
          <w:sz w:val="32"/>
          <w:szCs w:val="32"/>
        </w:rPr>
      </w:pPr>
      <w:r>
        <w:rPr>
          <w:rFonts w:ascii="Times New Roman" w:eastAsia="仿宋_GB2312" w:cs="黑体" w:hint="eastAsia"/>
          <w:sz w:val="32"/>
          <w:szCs w:val="32"/>
        </w:rPr>
        <w:t>4</w:t>
      </w:r>
      <w:r>
        <w:rPr>
          <w:rFonts w:ascii="Times New Roman" w:eastAsia="仿宋_GB2312" w:cs="黑体" w:hint="eastAsia"/>
          <w:sz w:val="32"/>
          <w:szCs w:val="32"/>
        </w:rPr>
        <w:t>、一般原则</w:t>
      </w:r>
    </w:p>
    <w:p w14:paraId="2C4FE7A4" w14:textId="77777777" w:rsidR="00A2664F" w:rsidRDefault="00000000">
      <w:pPr>
        <w:adjustRightInd w:val="0"/>
        <w:snapToGrid w:val="0"/>
        <w:rPr>
          <w:rFonts w:eastAsia="仿宋_GB2312"/>
        </w:rPr>
      </w:pPr>
      <w:r>
        <w:rPr>
          <w:rFonts w:eastAsia="仿宋_GB2312"/>
        </w:rPr>
        <w:t>本文件确立了电子单证的七项一般原则</w:t>
      </w:r>
      <w:r>
        <w:rPr>
          <w:rFonts w:eastAsia="仿宋_GB2312" w:hint="eastAsia"/>
        </w:rPr>
        <w:t>，</w:t>
      </w:r>
      <w:r>
        <w:rPr>
          <w:rFonts w:eastAsia="仿宋_GB2312"/>
        </w:rPr>
        <w:t>三元属性统一原则、全程可追溯原则、数据一致性原则、不可篡改原则、合规性原则、成套性原则、监管协同原则。其中，三元属性统一、不可篡改、监管协同是电子化场景的特有要求；全程可追溯、数据一致性、成套性保障业务链条完整；合规性贯穿全流程</w:t>
      </w:r>
      <w:r>
        <w:rPr>
          <w:rFonts w:eastAsia="仿宋_GB2312" w:hint="eastAsia"/>
        </w:rPr>
        <w:t>。</w:t>
      </w:r>
    </w:p>
    <w:p w14:paraId="107659B2" w14:textId="77777777" w:rsidR="00A2664F" w:rsidRDefault="00000000">
      <w:pPr>
        <w:adjustRightInd w:val="0"/>
        <w:snapToGrid w:val="0"/>
        <w:ind w:firstLine="643"/>
        <w:rPr>
          <w:rFonts w:eastAsia="仿宋_GB2312"/>
          <w:b/>
          <w:bCs/>
        </w:rPr>
      </w:pPr>
      <w:r>
        <w:rPr>
          <w:rFonts w:eastAsia="仿宋_GB2312" w:hint="eastAsia"/>
          <w:b/>
          <w:bCs/>
        </w:rPr>
        <w:t>理由及依据：</w:t>
      </w:r>
    </w:p>
    <w:p w14:paraId="275BB059" w14:textId="77777777" w:rsidR="00A2664F" w:rsidRDefault="00000000">
      <w:pPr>
        <w:adjustRightInd w:val="0"/>
        <w:snapToGrid w:val="0"/>
        <w:rPr>
          <w:rFonts w:eastAsia="仿宋_GB2312"/>
        </w:rPr>
      </w:pPr>
      <w:r>
        <w:rPr>
          <w:rFonts w:eastAsia="仿宋_GB2312"/>
        </w:rPr>
        <w:t>七项原则以三元属性统一为基石，直接回应纸质单据人可读但不可机读、不可自证的痛点</w:t>
      </w:r>
      <w:r>
        <w:rPr>
          <w:rFonts w:eastAsia="仿宋_GB2312" w:hint="eastAsia"/>
        </w:rPr>
        <w:t>，</w:t>
      </w:r>
      <w:r>
        <w:rPr>
          <w:rFonts w:eastAsia="仿宋_GB2312"/>
        </w:rPr>
        <w:t>第</w:t>
      </w:r>
      <w:r>
        <w:rPr>
          <w:rFonts w:eastAsia="仿宋_GB2312"/>
        </w:rPr>
        <w:t>4.1</w:t>
      </w:r>
      <w:r>
        <w:rPr>
          <w:rFonts w:eastAsia="仿宋_GB2312"/>
        </w:rPr>
        <w:t>条将任一属性缺失的文件排除在合规电子单证之外，确立电子单证的判定基线；第</w:t>
      </w:r>
      <w:r>
        <w:rPr>
          <w:rFonts w:eastAsia="仿宋_GB2312"/>
        </w:rPr>
        <w:t>4.4</w:t>
      </w:r>
      <w:r>
        <w:rPr>
          <w:rFonts w:eastAsia="仿宋_GB2312"/>
        </w:rPr>
        <w:t>条不可篡改要求已登记单证的修改须导致原单证失效并触发重新签发登记，与</w:t>
      </w:r>
      <w:r>
        <w:rPr>
          <w:rFonts w:eastAsia="仿宋_GB2312"/>
        </w:rPr>
        <w:t>GB/T 25064</w:t>
      </w:r>
      <w:r>
        <w:rPr>
          <w:rFonts w:eastAsia="仿宋_GB2312"/>
        </w:rPr>
        <w:t>电子签名完整性要求一致；第</w:t>
      </w:r>
      <w:r>
        <w:rPr>
          <w:rFonts w:eastAsia="仿宋_GB2312"/>
        </w:rPr>
        <w:t>4.6</w:t>
      </w:r>
      <w:r>
        <w:rPr>
          <w:rFonts w:eastAsia="仿宋_GB2312"/>
        </w:rPr>
        <w:t>条成套性与第</w:t>
      </w:r>
      <w:r>
        <w:rPr>
          <w:rFonts w:eastAsia="仿宋_GB2312"/>
        </w:rPr>
        <w:t>4.3</w:t>
      </w:r>
      <w:r>
        <w:rPr>
          <w:rFonts w:eastAsia="仿宋_GB2312"/>
        </w:rPr>
        <w:t>条数据一致性共同保证主单与辅助单据关联完整、取值一致；第</w:t>
      </w:r>
      <w:r>
        <w:rPr>
          <w:rFonts w:eastAsia="仿宋_GB2312"/>
        </w:rPr>
        <w:t>4.7</w:t>
      </w:r>
      <w:r>
        <w:rPr>
          <w:rFonts w:eastAsia="仿宋_GB2312"/>
        </w:rPr>
        <w:t>条监管协同对接海关、海事监管申报要求，支撑第</w:t>
      </w:r>
      <w:r>
        <w:rPr>
          <w:rFonts w:eastAsia="仿宋_GB2312"/>
        </w:rPr>
        <w:t>5</w:t>
      </w:r>
      <w:r>
        <w:rPr>
          <w:rFonts w:eastAsia="仿宋_GB2312"/>
        </w:rPr>
        <w:t>章全流程设计的合规性目标。七项原则相互支撑，构成电子单证可信体系的根本遵循</w:t>
      </w:r>
      <w:r>
        <w:rPr>
          <w:rFonts w:eastAsia="仿宋_GB2312" w:hint="eastAsia"/>
        </w:rPr>
        <w:t>。</w:t>
      </w:r>
    </w:p>
    <w:p w14:paraId="03890008" w14:textId="77777777" w:rsidR="00A2664F" w:rsidRDefault="00000000">
      <w:pPr>
        <w:pStyle w:val="a"/>
        <w:widowControl w:val="0"/>
        <w:numPr>
          <w:ilvl w:val="0"/>
          <w:numId w:val="0"/>
        </w:numPr>
        <w:adjustRightInd w:val="0"/>
        <w:snapToGrid w:val="0"/>
        <w:spacing w:beforeLines="50" w:before="156" w:afterLines="50" w:after="156" w:line="360" w:lineRule="auto"/>
        <w:ind w:firstLineChars="200" w:firstLine="640"/>
        <w:outlineLvl w:val="2"/>
        <w:rPr>
          <w:rFonts w:ascii="Times New Roman" w:eastAsia="仿宋_GB2312" w:cs="黑体"/>
          <w:sz w:val="32"/>
          <w:szCs w:val="32"/>
        </w:rPr>
      </w:pPr>
      <w:r>
        <w:rPr>
          <w:rFonts w:ascii="Times New Roman" w:eastAsia="仿宋_GB2312" w:cs="黑体" w:hint="eastAsia"/>
          <w:sz w:val="32"/>
          <w:szCs w:val="32"/>
        </w:rPr>
        <w:t>5</w:t>
      </w:r>
      <w:r>
        <w:rPr>
          <w:rFonts w:ascii="Times New Roman" w:eastAsia="仿宋_GB2312" w:cs="黑体" w:hint="eastAsia"/>
          <w:sz w:val="32"/>
          <w:szCs w:val="32"/>
        </w:rPr>
        <w:t>、</w:t>
      </w:r>
      <w:r>
        <w:rPr>
          <w:rFonts w:ascii="Times New Roman" w:eastAsia="仿宋_GB2312" w:cs="黑体"/>
          <w:sz w:val="32"/>
          <w:szCs w:val="32"/>
        </w:rPr>
        <w:t>单证全流程管理</w:t>
      </w:r>
    </w:p>
    <w:p w14:paraId="39D2E123" w14:textId="6BCFACAD" w:rsidR="00A2664F" w:rsidRDefault="00000000">
      <w:pPr>
        <w:adjustRightInd w:val="0"/>
        <w:snapToGrid w:val="0"/>
        <w:rPr>
          <w:rFonts w:eastAsia="仿宋_GB2312"/>
        </w:rPr>
      </w:pPr>
      <w:r>
        <w:rPr>
          <w:rFonts w:eastAsia="仿宋_GB2312"/>
        </w:rPr>
        <w:lastRenderedPageBreak/>
        <w:t>本文件将单证全生命周期划分为单证生成与数据采集</w:t>
      </w:r>
      <w:r>
        <w:rPr>
          <w:rFonts w:eastAsia="仿宋_GB2312" w:hint="eastAsia"/>
        </w:rPr>
        <w:t>、</w:t>
      </w:r>
      <w:r>
        <w:rPr>
          <w:rFonts w:eastAsia="仿宋_GB2312"/>
        </w:rPr>
        <w:t>签署与确认</w:t>
      </w:r>
      <w:r>
        <w:rPr>
          <w:rFonts w:eastAsia="仿宋_GB2312" w:hint="eastAsia"/>
        </w:rPr>
        <w:t>、</w:t>
      </w:r>
      <w:r>
        <w:rPr>
          <w:rFonts w:eastAsia="仿宋_GB2312"/>
        </w:rPr>
        <w:t>登记与存证</w:t>
      </w:r>
      <w:r>
        <w:rPr>
          <w:rFonts w:eastAsia="仿宋_GB2312" w:hint="eastAsia"/>
        </w:rPr>
        <w:t>、</w:t>
      </w:r>
      <w:r>
        <w:rPr>
          <w:rFonts w:eastAsia="仿宋_GB2312"/>
        </w:rPr>
        <w:t>流转与分发</w:t>
      </w:r>
      <w:r>
        <w:rPr>
          <w:rFonts w:eastAsia="仿宋_GB2312" w:hint="eastAsia"/>
        </w:rPr>
        <w:t>、</w:t>
      </w:r>
      <w:r>
        <w:rPr>
          <w:rFonts w:eastAsia="仿宋_GB2312"/>
        </w:rPr>
        <w:t>核验与查证</w:t>
      </w:r>
      <w:r>
        <w:rPr>
          <w:rFonts w:eastAsia="仿宋_GB2312" w:hint="eastAsia"/>
        </w:rPr>
        <w:t>、</w:t>
      </w:r>
      <w:r>
        <w:rPr>
          <w:rFonts w:eastAsia="仿宋_GB2312"/>
        </w:rPr>
        <w:t>失效与变更</w:t>
      </w:r>
      <w:r>
        <w:rPr>
          <w:rFonts w:eastAsia="仿宋_GB2312" w:hint="eastAsia"/>
        </w:rPr>
        <w:t>、</w:t>
      </w:r>
      <w:r>
        <w:rPr>
          <w:rFonts w:eastAsia="仿宋_GB2312"/>
        </w:rPr>
        <w:t>归档与留存七个管理节点，并通过第</w:t>
      </w:r>
      <w:r>
        <w:rPr>
          <w:rFonts w:eastAsia="仿宋_GB2312"/>
        </w:rPr>
        <w:t>5.1</w:t>
      </w:r>
      <w:r>
        <w:rPr>
          <w:rFonts w:eastAsia="仿宋_GB2312"/>
        </w:rPr>
        <w:t>条加注业务与单证触发关系将各节点与</w:t>
      </w:r>
      <w:r>
        <w:rPr>
          <w:rFonts w:eastAsia="仿宋_GB2312"/>
        </w:rPr>
        <w:t>GB/T 25346—2020</w:t>
      </w:r>
      <w:r>
        <w:rPr>
          <w:rFonts w:eastAsia="仿宋_GB2312"/>
        </w:rPr>
        <w:t>的加注作业节点建立对应关系，形成加注作业</w:t>
      </w:r>
      <w:r>
        <w:rPr>
          <w:rFonts w:eastAsia="仿宋_GB2312" w:hint="eastAsia"/>
        </w:rPr>
        <w:t>、</w:t>
      </w:r>
      <w:r>
        <w:rPr>
          <w:rFonts w:eastAsia="仿宋_GB2312"/>
        </w:rPr>
        <w:t>单证生成</w:t>
      </w:r>
      <w:r>
        <w:rPr>
          <w:rFonts w:eastAsia="仿宋_GB2312" w:hint="eastAsia"/>
        </w:rPr>
        <w:t>、</w:t>
      </w:r>
      <w:r>
        <w:rPr>
          <w:rFonts w:eastAsia="仿宋_GB2312"/>
        </w:rPr>
        <w:t>全流程管理一体化流程</w:t>
      </w:r>
      <w:r>
        <w:rPr>
          <w:rFonts w:eastAsia="仿宋_GB2312" w:hint="eastAsia"/>
        </w:rPr>
        <w:t>。加注作业各节点对应单据为：加注申请—燃料加注申请单，质量检验—质量证书、质量检测报告，条件确认—安全检查确认表、计划供应数量确认表，计量作业—质量流量计系统密封检查表，交付确认与</w:t>
      </w:r>
      <w:r>
        <w:rPr>
          <w:rFonts w:eastAsia="仿宋_GB2312" w:hint="eastAsia"/>
        </w:rPr>
        <w:t>BDN</w:t>
      </w:r>
      <w:r>
        <w:rPr>
          <w:rFonts w:eastAsia="仿宋_GB2312" w:hint="eastAsia"/>
        </w:rPr>
        <w:t>签署—仪表读数记录表、确认报告；加注作业完结后如有异议还应形成抗议书（见正文表</w:t>
      </w:r>
      <w:r>
        <w:rPr>
          <w:rFonts w:eastAsia="仿宋_GB2312" w:hint="eastAsia"/>
        </w:rPr>
        <w:t>1</w:t>
      </w:r>
      <w:r>
        <w:rPr>
          <w:rFonts w:eastAsia="仿宋_GB2312" w:hint="eastAsia"/>
        </w:rPr>
        <w:t>），各节点配套单据要求见</w:t>
      </w:r>
      <w:r>
        <w:rPr>
          <w:rFonts w:eastAsia="仿宋_GB2312" w:hint="eastAsia"/>
        </w:rPr>
        <w:t>T/CBS 3333</w:t>
      </w:r>
      <w:r>
        <w:rPr>
          <w:rFonts w:eastAsia="仿宋_GB2312" w:hint="eastAsia"/>
        </w:rPr>
        <w:t>。</w:t>
      </w:r>
    </w:p>
    <w:p w14:paraId="6A13D853" w14:textId="77777777" w:rsidR="00A2664F" w:rsidRDefault="00000000">
      <w:pPr>
        <w:adjustRightInd w:val="0"/>
        <w:snapToGrid w:val="0"/>
        <w:ind w:firstLine="643"/>
        <w:rPr>
          <w:rFonts w:eastAsia="仿宋_GB2312"/>
          <w:b/>
          <w:bCs/>
        </w:rPr>
      </w:pPr>
      <w:r>
        <w:rPr>
          <w:rFonts w:eastAsia="仿宋_GB2312" w:hint="eastAsia"/>
          <w:b/>
          <w:bCs/>
        </w:rPr>
        <w:t>理由及依据：</w:t>
      </w:r>
    </w:p>
    <w:p w14:paraId="165ED57A" w14:textId="19205DAA" w:rsidR="00A2664F" w:rsidRDefault="00000000">
      <w:pPr>
        <w:adjustRightInd w:val="0"/>
        <w:snapToGrid w:val="0"/>
        <w:rPr>
          <w:rFonts w:eastAsia="仿宋_GB2312"/>
        </w:rPr>
      </w:pPr>
      <w:r>
        <w:rPr>
          <w:rFonts w:eastAsia="仿宋_GB2312"/>
        </w:rPr>
        <w:t>全流程设计以</w:t>
      </w:r>
      <w:r>
        <w:rPr>
          <w:rFonts w:eastAsia="仿宋_GB2312"/>
        </w:rPr>
        <w:t>GB/T 25346—2020</w:t>
      </w:r>
      <w:r>
        <w:rPr>
          <w:rFonts w:eastAsia="仿宋_GB2312"/>
        </w:rPr>
        <w:t>作业流程为业务锚点，将单证活动嵌入业务节点，实现</w:t>
      </w:r>
      <w:r>
        <w:rPr>
          <w:rFonts w:eastAsia="仿宋_GB2312"/>
        </w:rPr>
        <w:t>“</w:t>
      </w:r>
      <w:r>
        <w:rPr>
          <w:rFonts w:eastAsia="仿宋_GB2312"/>
        </w:rPr>
        <w:t>业务发生即单证生成、签署即登记、登记即可验证</w:t>
      </w:r>
      <w:r>
        <w:rPr>
          <w:rFonts w:eastAsia="仿宋_GB2312"/>
        </w:rPr>
        <w:t>”</w:t>
      </w:r>
      <w:r>
        <w:rPr>
          <w:rFonts w:eastAsia="仿宋_GB2312"/>
        </w:rPr>
        <w:t>的闭环。第</w:t>
      </w:r>
      <w:r>
        <w:rPr>
          <w:rFonts w:eastAsia="仿宋_GB2312"/>
        </w:rPr>
        <w:t>5.2</w:t>
      </w:r>
      <w:r>
        <w:rPr>
          <w:rFonts w:eastAsia="仿宋_GB2312"/>
        </w:rPr>
        <w:t>条要求优先支持与质量流量计（</w:t>
      </w:r>
      <w:r>
        <w:rPr>
          <w:rFonts w:eastAsia="仿宋_GB2312"/>
        </w:rPr>
        <w:t>MFM</w:t>
      </w:r>
      <w:r>
        <w:rPr>
          <w:rFonts w:eastAsia="仿宋_GB2312"/>
        </w:rPr>
        <w:t>）等物联网设备自动对接，减少人工干预，并同步采集《中华人民共和国海关运输工具起卸</w:t>
      </w:r>
      <w:r>
        <w:rPr>
          <w:rFonts w:eastAsia="仿宋_GB2312"/>
        </w:rPr>
        <w:t>/</w:t>
      </w:r>
      <w:r>
        <w:rPr>
          <w:rFonts w:eastAsia="仿宋_GB2312"/>
        </w:rPr>
        <w:t>添加物料申报单》申报编号、保税油出仓单据编号等海关监管数据，呼应条件确认节点的保税出仓申请、计量作业节点的物料添加申报要求；第</w:t>
      </w:r>
      <w:r>
        <w:rPr>
          <w:rFonts w:eastAsia="仿宋_GB2312"/>
        </w:rPr>
        <w:t>5.3</w:t>
      </w:r>
      <w:r>
        <w:rPr>
          <w:rFonts w:eastAsia="仿宋_GB2312"/>
        </w:rPr>
        <w:t>条签署规则落实《中华人民共和国电子签名法》关于可靠电子签名及</w:t>
      </w:r>
      <w:r>
        <w:rPr>
          <w:rFonts w:eastAsia="仿宋_GB2312"/>
        </w:rPr>
        <w:t>GB/T 35285—2017</w:t>
      </w:r>
      <w:r>
        <w:rPr>
          <w:rFonts w:eastAsia="仿宋_GB2312"/>
        </w:rPr>
        <w:lastRenderedPageBreak/>
        <w:t>的要求；第</w:t>
      </w:r>
      <w:r>
        <w:rPr>
          <w:rFonts w:eastAsia="仿宋_GB2312"/>
        </w:rPr>
        <w:t>5.4</w:t>
      </w:r>
      <w:r>
        <w:rPr>
          <w:rFonts w:eastAsia="仿宋_GB2312"/>
        </w:rPr>
        <w:t>条登记存证要求采用区块链或其他不可篡改存储技术，赋予单证可验证性；第</w:t>
      </w:r>
      <w:r>
        <w:rPr>
          <w:rFonts w:eastAsia="仿宋_GB2312"/>
        </w:rPr>
        <w:t>5.6</w:t>
      </w:r>
      <w:r>
        <w:rPr>
          <w:rFonts w:eastAsia="仿宋_GB2312"/>
        </w:rPr>
        <w:t>条核验支持人工、系统自动化、扫码等方式，并开放监管接口供海关、海事在线查证；第</w:t>
      </w:r>
      <w:r>
        <w:rPr>
          <w:rFonts w:eastAsia="仿宋_GB2312"/>
        </w:rPr>
        <w:t>5.7</w:t>
      </w:r>
      <w:r>
        <w:rPr>
          <w:rFonts w:eastAsia="仿宋_GB2312"/>
        </w:rPr>
        <w:t>条</w:t>
      </w:r>
      <w:r>
        <w:rPr>
          <w:rFonts w:eastAsia="仿宋_GB2312"/>
        </w:rPr>
        <w:t>“</w:t>
      </w:r>
      <w:r>
        <w:rPr>
          <w:rFonts w:eastAsia="仿宋_GB2312"/>
        </w:rPr>
        <w:t>失效即重新签发登记、变更留痕</w:t>
      </w:r>
      <w:r>
        <w:rPr>
          <w:rFonts w:eastAsia="仿宋_GB2312"/>
        </w:rPr>
        <w:t>”</w:t>
      </w:r>
      <w:r>
        <w:rPr>
          <w:rFonts w:eastAsia="仿宋_GB2312"/>
        </w:rPr>
        <w:t>与第</w:t>
      </w:r>
      <w:r>
        <w:rPr>
          <w:rFonts w:eastAsia="仿宋_GB2312"/>
        </w:rPr>
        <w:t>4.4</w:t>
      </w:r>
      <w:r>
        <w:rPr>
          <w:rFonts w:eastAsia="仿宋_GB2312"/>
        </w:rPr>
        <w:t>条不可篡改原则一致；第</w:t>
      </w:r>
      <w:r>
        <w:rPr>
          <w:rFonts w:eastAsia="仿宋_GB2312"/>
        </w:rPr>
        <w:t>5.8</w:t>
      </w:r>
      <w:r>
        <w:rPr>
          <w:rFonts w:eastAsia="仿宋_GB2312"/>
        </w:rPr>
        <w:t>条要求燃油供受单证留存期限不少于</w:t>
      </w:r>
      <w:r>
        <w:rPr>
          <w:rFonts w:eastAsia="仿宋_GB2312"/>
        </w:rPr>
        <w:t>3</w:t>
      </w:r>
      <w:r>
        <w:rPr>
          <w:rFonts w:eastAsia="仿宋_GB2312"/>
        </w:rPr>
        <w:t>年，符合海关、海事等监管留存要求。全流程节点职责清晰、环环相扣，保障了单证的完整性与可追溯性</w:t>
      </w:r>
      <w:r>
        <w:rPr>
          <w:rFonts w:eastAsia="仿宋_GB2312" w:hint="eastAsia"/>
        </w:rPr>
        <w:t>。</w:t>
      </w:r>
    </w:p>
    <w:p w14:paraId="4F305D52" w14:textId="77777777" w:rsidR="00A2664F" w:rsidRDefault="00000000">
      <w:pPr>
        <w:pStyle w:val="a"/>
        <w:widowControl w:val="0"/>
        <w:numPr>
          <w:ilvl w:val="0"/>
          <w:numId w:val="0"/>
        </w:numPr>
        <w:adjustRightInd w:val="0"/>
        <w:snapToGrid w:val="0"/>
        <w:spacing w:beforeLines="50" w:before="156" w:afterLines="50" w:after="156" w:line="360" w:lineRule="auto"/>
        <w:ind w:firstLineChars="200" w:firstLine="640"/>
        <w:outlineLvl w:val="2"/>
        <w:rPr>
          <w:rFonts w:ascii="Times New Roman" w:eastAsia="仿宋_GB2312" w:cs="黑体"/>
          <w:sz w:val="32"/>
          <w:szCs w:val="32"/>
        </w:rPr>
      </w:pPr>
      <w:r>
        <w:rPr>
          <w:rFonts w:ascii="Times New Roman" w:eastAsia="仿宋_GB2312" w:cs="黑体" w:hint="eastAsia"/>
          <w:sz w:val="32"/>
          <w:szCs w:val="32"/>
        </w:rPr>
        <w:t>6</w:t>
      </w:r>
      <w:r>
        <w:rPr>
          <w:rFonts w:ascii="Times New Roman" w:eastAsia="仿宋_GB2312" w:cs="黑体" w:hint="eastAsia"/>
          <w:sz w:val="32"/>
          <w:szCs w:val="32"/>
        </w:rPr>
        <w:t>、</w:t>
      </w:r>
      <w:r>
        <w:rPr>
          <w:rFonts w:ascii="Times New Roman" w:eastAsia="仿宋_GB2312" w:cs="黑体"/>
          <w:sz w:val="32"/>
          <w:szCs w:val="32"/>
        </w:rPr>
        <w:t>特殊场景与争议处置</w:t>
      </w:r>
    </w:p>
    <w:p w14:paraId="0D78EEE1" w14:textId="192D05F2" w:rsidR="00A2664F" w:rsidRDefault="00000000">
      <w:pPr>
        <w:adjustRightInd w:val="0"/>
        <w:snapToGrid w:val="0"/>
        <w:rPr>
          <w:rFonts w:eastAsia="仿宋_GB2312"/>
        </w:rPr>
      </w:pPr>
      <w:r>
        <w:rPr>
          <w:rFonts w:eastAsia="仿宋_GB2312"/>
        </w:rPr>
        <w:t>本文件第</w:t>
      </w:r>
      <w:r>
        <w:rPr>
          <w:rFonts w:eastAsia="仿宋_GB2312"/>
        </w:rPr>
        <w:t>6</w:t>
      </w:r>
      <w:r>
        <w:rPr>
          <w:rFonts w:eastAsia="仿宋_GB2312"/>
        </w:rPr>
        <w:t>章规定了异常场景处置程序与争议处置程序。异常场景为加注作业现场出现网络不可用等情况，导致无法完成单证的远程签署、实时登记，要求</w:t>
      </w:r>
      <w:r>
        <w:rPr>
          <w:rFonts w:eastAsia="仿宋_GB2312"/>
        </w:rPr>
        <w:t>e-BDN</w:t>
      </w:r>
      <w:r>
        <w:rPr>
          <w:rFonts w:eastAsia="仿宋_GB2312"/>
        </w:rPr>
        <w:t>信息平台、燃料加注计量系统等支持不受影响的离线应急模式，满足签署人本人签署、同步记录网络中断时间、恢复时间与操作人、未上传单证锁定等管控要求，并在网络恢复后自动完成单证上传；争议处置明确以完成登记的原始电子单证为核验依据，由指定的第三方验证机构出具权威核验结果，篡改单证不具备业务凭证效力</w:t>
      </w:r>
      <w:r>
        <w:rPr>
          <w:rFonts w:eastAsia="仿宋_GB2312" w:hint="eastAsia"/>
        </w:rPr>
        <w:t>。</w:t>
      </w:r>
    </w:p>
    <w:p w14:paraId="7370EA47" w14:textId="77777777" w:rsidR="00A2664F" w:rsidRDefault="00000000">
      <w:pPr>
        <w:adjustRightInd w:val="0"/>
        <w:snapToGrid w:val="0"/>
        <w:ind w:firstLine="643"/>
        <w:rPr>
          <w:rFonts w:eastAsia="仿宋_GB2312"/>
          <w:b/>
          <w:bCs/>
        </w:rPr>
      </w:pPr>
      <w:r>
        <w:rPr>
          <w:rFonts w:eastAsia="仿宋_GB2312" w:hint="eastAsia"/>
          <w:b/>
          <w:bCs/>
        </w:rPr>
        <w:t>理由及依据：</w:t>
      </w:r>
    </w:p>
    <w:p w14:paraId="4DD89D01" w14:textId="317BD58F" w:rsidR="00A2664F" w:rsidRDefault="00000000">
      <w:pPr>
        <w:adjustRightInd w:val="0"/>
        <w:snapToGrid w:val="0"/>
        <w:rPr>
          <w:rFonts w:eastAsia="仿宋_GB2312"/>
        </w:rPr>
      </w:pPr>
      <w:r>
        <w:rPr>
          <w:rFonts w:eastAsia="仿宋_GB2312"/>
        </w:rPr>
        <w:t>异常场景条款针对海上、港口等网络条件不稳定、作业连续性要求高的实际工况，兼顾业务不中断与凭证可信双重目标，离线签署后锁定、网络恢复后自动上传的机制，借鉴了电子证照离线签发通行做法。争议处置条款确立以</w:t>
      </w:r>
      <w:r>
        <w:rPr>
          <w:rFonts w:eastAsia="仿宋_GB2312"/>
        </w:rPr>
        <w:lastRenderedPageBreak/>
        <w:t>完成登记的原始电子单证为核验依据、由指定的第三方验证机构出具权威核验结果、篡改单证不具备业务凭证效力的判定规则，与第</w:t>
      </w:r>
      <w:r>
        <w:rPr>
          <w:rFonts w:eastAsia="仿宋_GB2312"/>
        </w:rPr>
        <w:t>4.4</w:t>
      </w:r>
      <w:r>
        <w:rPr>
          <w:rFonts w:eastAsia="仿宋_GB2312"/>
        </w:rPr>
        <w:t>条不可篡改原则、第</w:t>
      </w:r>
      <w:r>
        <w:rPr>
          <w:rFonts w:eastAsia="仿宋_GB2312"/>
        </w:rPr>
        <w:t>5.6</w:t>
      </w:r>
      <w:r>
        <w:rPr>
          <w:rFonts w:eastAsia="仿宋_GB2312"/>
        </w:rPr>
        <w:t>条核验机制形成闭环，并为海关、海事监管争议的依法处置留出接口，保障争议处理的公正性与可操作性</w:t>
      </w:r>
      <w:r>
        <w:rPr>
          <w:rFonts w:eastAsia="仿宋_GB2312" w:hint="eastAsia"/>
        </w:rPr>
        <w:t>。</w:t>
      </w:r>
    </w:p>
    <w:p w14:paraId="0A0C08E8" w14:textId="77777777" w:rsidR="00A2664F" w:rsidRDefault="00000000">
      <w:pPr>
        <w:pStyle w:val="1"/>
        <w:adjustRightInd w:val="0"/>
        <w:snapToGrid w:val="0"/>
        <w:spacing w:beforeLines="50" w:before="156" w:afterLines="50" w:after="156" w:line="360" w:lineRule="auto"/>
        <w:ind w:firstLineChars="0" w:firstLine="0"/>
        <w:rPr>
          <w:rFonts w:eastAsia="黑体"/>
        </w:rPr>
      </w:pPr>
      <w:bookmarkStart w:id="48" w:name="_Toc215734352"/>
      <w:r>
        <w:rPr>
          <w:rFonts w:eastAsia="黑体" w:hint="eastAsia"/>
        </w:rPr>
        <w:t>三、试验验证的分析、综述报告，技术经济论证，</w:t>
      </w:r>
      <w:bookmarkStart w:id="49" w:name="OLE_LINK7"/>
      <w:r>
        <w:rPr>
          <w:rFonts w:eastAsia="黑体" w:hint="eastAsia"/>
        </w:rPr>
        <w:t>预期的经济效益、社会效益和生态效益</w:t>
      </w:r>
      <w:bookmarkEnd w:id="42"/>
      <w:bookmarkEnd w:id="43"/>
      <w:bookmarkEnd w:id="44"/>
      <w:bookmarkEnd w:id="45"/>
      <w:bookmarkEnd w:id="46"/>
      <w:bookmarkEnd w:id="47"/>
      <w:bookmarkEnd w:id="48"/>
    </w:p>
    <w:bookmarkEnd w:id="49"/>
    <w:p w14:paraId="0ABE6215" w14:textId="77777777" w:rsidR="00A2664F" w:rsidRDefault="00000000">
      <w:pPr>
        <w:adjustRightInd w:val="0"/>
        <w:snapToGrid w:val="0"/>
        <w:spacing w:beforeLines="50" w:before="156" w:afterLines="50" w:after="156"/>
        <w:ind w:firstLine="643"/>
        <w:outlineLvl w:val="1"/>
        <w:rPr>
          <w:rFonts w:eastAsia="楷体" w:cs="楷体"/>
          <w:b/>
          <w:bCs/>
        </w:rPr>
      </w:pPr>
      <w:r>
        <w:rPr>
          <w:rFonts w:eastAsia="楷体" w:cs="楷体" w:hint="eastAsia"/>
          <w:b/>
          <w:bCs/>
        </w:rPr>
        <w:t>（一）试验验证的分析</w:t>
      </w:r>
    </w:p>
    <w:p w14:paraId="44C58324" w14:textId="42155D7A" w:rsidR="00A2664F" w:rsidRDefault="00000000">
      <w:pPr>
        <w:adjustRightInd w:val="0"/>
        <w:snapToGrid w:val="0"/>
        <w:rPr>
          <w:rFonts w:eastAsia="仿宋_GB2312"/>
        </w:rPr>
      </w:pPr>
      <w:bookmarkStart w:id="50" w:name="OLE_LINK9"/>
      <w:r>
        <w:rPr>
          <w:rFonts w:eastAsia="仿宋_GB2312" w:hint="eastAsia"/>
        </w:rPr>
        <w:t>在标准编制过程中，编制组选取具备代表性的国际航行船舶保税燃料加注作业场景，围绕本文件确立的三元属性、全流程管理与争议处置规则开展了专项验证。验证重点覆盖，一是</w:t>
      </w:r>
      <w:r>
        <w:rPr>
          <w:rFonts w:eastAsia="仿宋_GB2312" w:hint="eastAsia"/>
        </w:rPr>
        <w:t>e-BDN</w:t>
      </w:r>
      <w:r>
        <w:rPr>
          <w:rFonts w:eastAsia="仿宋_GB2312" w:hint="eastAsia"/>
        </w:rPr>
        <w:t>信息平台与质量流量计（</w:t>
      </w:r>
      <w:r>
        <w:rPr>
          <w:rFonts w:eastAsia="仿宋_GB2312" w:hint="eastAsia"/>
        </w:rPr>
        <w:t>MFM</w:t>
      </w:r>
      <w:r>
        <w:rPr>
          <w:rFonts w:eastAsia="仿宋_GB2312" w:hint="eastAsia"/>
        </w:rPr>
        <w:t>）、仪表读数记录等物联网设备的自动对接与数据采集准确性；二是基于数字证书的可靠电子签名、登记存证（含区块链等不可篡改存储）与全流程可追溯链条的完整性；三是主单（</w:t>
      </w:r>
      <w:r>
        <w:rPr>
          <w:rFonts w:eastAsia="仿宋_GB2312" w:hint="eastAsia"/>
        </w:rPr>
        <w:t>BDN</w:t>
      </w:r>
      <w:r>
        <w:rPr>
          <w:rFonts w:eastAsia="仿宋_GB2312" w:hint="eastAsia"/>
        </w:rPr>
        <w:t>）与计量单据、质量单据、交易单据、安全单据等辅助单据的关联一致性；四是网络中断条件下离线应急签署、数据锁定及网络恢复后自动上传的可用性。</w:t>
      </w:r>
    </w:p>
    <w:p w14:paraId="6844C8CD" w14:textId="77777777" w:rsidR="00A2664F" w:rsidRDefault="00000000">
      <w:pPr>
        <w:adjustRightInd w:val="0"/>
        <w:snapToGrid w:val="0"/>
        <w:rPr>
          <w:rFonts w:eastAsia="仿宋_GB2312"/>
        </w:rPr>
      </w:pPr>
      <w:r>
        <w:rPr>
          <w:rFonts w:eastAsia="仿宋_GB2312" w:hint="eastAsia"/>
        </w:rPr>
        <w:t>验证结果表明：本文件规定的七项一般原则与七个全流程管理节点逻辑自洽、职责清晰，无需额外补充复杂流程及专用设备即可应用于典型加注场景，核查要点界定明</w:t>
      </w:r>
      <w:r>
        <w:rPr>
          <w:rFonts w:eastAsia="仿宋_GB2312" w:hint="eastAsia"/>
        </w:rPr>
        <w:lastRenderedPageBreak/>
        <w:t>确、无模糊表述；基于数字证书的可靠电子签名与区块链存证可有效支撑人可读、机器可解释、可验证三元属性的统一，离线应急机制在保障业务连续性的同时满足凭证可信要求。上述验证印证了本文件的可操作性、科学性与实用性，具备良好的推广价值。</w:t>
      </w:r>
    </w:p>
    <w:bookmarkEnd w:id="50"/>
    <w:p w14:paraId="31D860AD" w14:textId="77777777" w:rsidR="00A2664F" w:rsidRDefault="00000000">
      <w:pPr>
        <w:adjustRightInd w:val="0"/>
        <w:snapToGrid w:val="0"/>
        <w:spacing w:beforeLines="50" w:before="156" w:afterLines="50" w:after="156"/>
        <w:ind w:firstLine="643"/>
        <w:outlineLvl w:val="1"/>
        <w:rPr>
          <w:rFonts w:eastAsia="楷体" w:cs="楷体"/>
          <w:b/>
          <w:bCs/>
        </w:rPr>
      </w:pPr>
      <w:r>
        <w:rPr>
          <w:rFonts w:eastAsia="楷体" w:cs="楷体" w:hint="eastAsia"/>
          <w:b/>
          <w:bCs/>
        </w:rPr>
        <w:t>（二）预期的经济效益、社会效益和生态效益</w:t>
      </w:r>
    </w:p>
    <w:p w14:paraId="55019E85" w14:textId="77777777" w:rsidR="00A2664F" w:rsidRDefault="00000000">
      <w:pPr>
        <w:pStyle w:val="a"/>
        <w:widowControl w:val="0"/>
        <w:numPr>
          <w:ilvl w:val="0"/>
          <w:numId w:val="0"/>
        </w:numPr>
        <w:adjustRightInd w:val="0"/>
        <w:snapToGrid w:val="0"/>
        <w:spacing w:beforeLines="50" w:before="156" w:afterLines="50" w:after="156" w:line="360" w:lineRule="auto"/>
        <w:ind w:firstLineChars="200" w:firstLine="640"/>
        <w:outlineLvl w:val="2"/>
        <w:rPr>
          <w:rFonts w:ascii="Times New Roman" w:eastAsia="仿宋_GB2312" w:cs="黑体"/>
          <w:sz w:val="32"/>
          <w:szCs w:val="32"/>
        </w:rPr>
      </w:pPr>
      <w:r>
        <w:rPr>
          <w:rFonts w:ascii="Times New Roman" w:eastAsia="仿宋_GB2312" w:cs="黑体" w:hint="eastAsia"/>
          <w:sz w:val="32"/>
          <w:szCs w:val="32"/>
        </w:rPr>
        <w:t>1</w:t>
      </w:r>
      <w:r>
        <w:rPr>
          <w:rFonts w:ascii="Times New Roman" w:eastAsia="仿宋_GB2312" w:cs="黑体" w:hint="eastAsia"/>
          <w:sz w:val="32"/>
          <w:szCs w:val="32"/>
        </w:rPr>
        <w:t>、经济效益</w:t>
      </w:r>
    </w:p>
    <w:p w14:paraId="3A2B2DB5" w14:textId="77777777" w:rsidR="00A2664F" w:rsidRDefault="00000000">
      <w:pPr>
        <w:adjustRightInd w:val="0"/>
        <w:snapToGrid w:val="0"/>
        <w:rPr>
          <w:rFonts w:eastAsia="仿宋_GB2312"/>
        </w:rPr>
      </w:pPr>
      <w:r>
        <w:rPr>
          <w:rFonts w:eastAsia="仿宋_GB2312"/>
        </w:rPr>
        <w:t>本文件通过电子单证替代纸质单据、实现数据采集自动化与流转无纸化，可显著降低供油方与受油方的单证打印、传递、核验与存档成本，缩短结算与申报周期；主单与辅助单据的标准化关联及海关、海事数据自动对接，减少重复申报与人工录入差错，提升贸易结算与通关效率，助力燃料供应企业降本增效。</w:t>
      </w:r>
    </w:p>
    <w:p w14:paraId="258546FB" w14:textId="77777777" w:rsidR="00A2664F" w:rsidRDefault="00000000">
      <w:pPr>
        <w:pStyle w:val="a"/>
        <w:widowControl w:val="0"/>
        <w:numPr>
          <w:ilvl w:val="0"/>
          <w:numId w:val="0"/>
        </w:numPr>
        <w:adjustRightInd w:val="0"/>
        <w:snapToGrid w:val="0"/>
        <w:spacing w:beforeLines="50" w:before="156" w:afterLines="50" w:after="156" w:line="360" w:lineRule="auto"/>
        <w:ind w:firstLineChars="200" w:firstLine="640"/>
        <w:outlineLvl w:val="2"/>
        <w:rPr>
          <w:rFonts w:ascii="Times New Roman" w:eastAsia="仿宋_GB2312" w:cs="黑体"/>
          <w:sz w:val="32"/>
          <w:szCs w:val="32"/>
        </w:rPr>
      </w:pPr>
      <w:r>
        <w:rPr>
          <w:rFonts w:ascii="Times New Roman" w:eastAsia="仿宋_GB2312" w:cs="黑体" w:hint="eastAsia"/>
          <w:sz w:val="32"/>
          <w:szCs w:val="32"/>
        </w:rPr>
        <w:t>2</w:t>
      </w:r>
      <w:r>
        <w:rPr>
          <w:rFonts w:ascii="Times New Roman" w:eastAsia="仿宋_GB2312" w:cs="黑体" w:hint="eastAsia"/>
          <w:sz w:val="32"/>
          <w:szCs w:val="32"/>
        </w:rPr>
        <w:t>、社会效益</w:t>
      </w:r>
    </w:p>
    <w:p w14:paraId="0500D6F1" w14:textId="77777777" w:rsidR="00A2664F" w:rsidRDefault="00000000">
      <w:pPr>
        <w:adjustRightInd w:val="0"/>
        <w:snapToGrid w:val="0"/>
        <w:rPr>
          <w:rFonts w:eastAsia="仿宋_GB2312"/>
        </w:rPr>
      </w:pPr>
      <w:r>
        <w:rPr>
          <w:rFonts w:eastAsia="仿宋_GB2312"/>
        </w:rPr>
        <w:t>本文件统一行业电子单证技术基线，支撑海关、海事等监管部门实现数据实时上报与在线查证，提升监管协同效率与执法精准度；全流程可追溯与争议处置机制的建立，有利于规范船用燃料供应市场秩序、保护交易各方合法权益，并为航运业信用体系建设提供凭证基础。</w:t>
      </w:r>
    </w:p>
    <w:p w14:paraId="0C42812B" w14:textId="77777777" w:rsidR="00A2664F" w:rsidRDefault="00000000">
      <w:pPr>
        <w:pStyle w:val="a"/>
        <w:widowControl w:val="0"/>
        <w:numPr>
          <w:ilvl w:val="0"/>
          <w:numId w:val="0"/>
        </w:numPr>
        <w:adjustRightInd w:val="0"/>
        <w:snapToGrid w:val="0"/>
        <w:spacing w:beforeLines="50" w:before="156" w:afterLines="50" w:after="156" w:line="360" w:lineRule="auto"/>
        <w:ind w:firstLineChars="200" w:firstLine="640"/>
        <w:outlineLvl w:val="2"/>
        <w:rPr>
          <w:rFonts w:ascii="Times New Roman" w:eastAsia="仿宋_GB2312" w:cs="黑体"/>
          <w:sz w:val="32"/>
          <w:szCs w:val="32"/>
        </w:rPr>
      </w:pPr>
      <w:r>
        <w:rPr>
          <w:rFonts w:ascii="Times New Roman" w:eastAsia="仿宋_GB2312" w:cs="黑体" w:hint="eastAsia"/>
          <w:sz w:val="32"/>
          <w:szCs w:val="32"/>
        </w:rPr>
        <w:t>3</w:t>
      </w:r>
      <w:r>
        <w:rPr>
          <w:rFonts w:ascii="Times New Roman" w:eastAsia="仿宋_GB2312" w:cs="黑体" w:hint="eastAsia"/>
          <w:sz w:val="32"/>
          <w:szCs w:val="32"/>
        </w:rPr>
        <w:t>、生态效益</w:t>
      </w:r>
    </w:p>
    <w:p w14:paraId="6E620923" w14:textId="77777777" w:rsidR="00A2664F" w:rsidRDefault="00000000">
      <w:pPr>
        <w:adjustRightInd w:val="0"/>
        <w:snapToGrid w:val="0"/>
        <w:rPr>
          <w:rFonts w:eastAsia="仿宋_GB2312"/>
        </w:rPr>
      </w:pPr>
      <w:r>
        <w:rPr>
          <w:rFonts w:eastAsia="仿宋_GB2312"/>
        </w:rPr>
        <w:lastRenderedPageBreak/>
        <w:t>本文件支撑</w:t>
      </w:r>
      <w:r>
        <w:rPr>
          <w:rFonts w:eastAsia="仿宋_GB2312"/>
        </w:rPr>
        <w:t>IMO</w:t>
      </w:r>
      <w:r>
        <w:rPr>
          <w:rFonts w:eastAsia="仿宋_GB2312"/>
        </w:rPr>
        <w:t>温室气体减排战略及</w:t>
      </w:r>
      <w:r>
        <w:rPr>
          <w:rFonts w:eastAsia="仿宋_GB2312"/>
        </w:rPr>
        <w:t>MARPOL</w:t>
      </w:r>
      <w:r>
        <w:rPr>
          <w:rFonts w:eastAsia="仿宋_GB2312"/>
        </w:rPr>
        <w:t>公约对燃油质量、消耗数据记录的要求，通过标准化的电子凭证体系保障燃料来源、质量与数量的真实可追溯，为船舶温室气体排放核算与合规申报提供可靠数据基础，助力航运业绿色低碳转型与海洋环境保护</w:t>
      </w:r>
      <w:r>
        <w:rPr>
          <w:rFonts w:eastAsia="仿宋_GB2312" w:hint="eastAsia"/>
        </w:rPr>
        <w:t>。</w:t>
      </w:r>
    </w:p>
    <w:p w14:paraId="42057E99" w14:textId="77777777" w:rsidR="00A2664F" w:rsidRDefault="00000000">
      <w:pPr>
        <w:pStyle w:val="1"/>
        <w:adjustRightInd w:val="0"/>
        <w:snapToGrid w:val="0"/>
        <w:spacing w:beforeLines="50" w:before="156" w:afterLines="50" w:after="156" w:line="360" w:lineRule="auto"/>
        <w:ind w:firstLineChars="0" w:firstLine="0"/>
        <w:rPr>
          <w:rFonts w:eastAsia="黑体"/>
        </w:rPr>
      </w:pPr>
      <w:bookmarkStart w:id="51" w:name="_Toc10630"/>
      <w:bookmarkStart w:id="52" w:name="_Toc18488"/>
      <w:bookmarkStart w:id="53" w:name="_Toc32477"/>
      <w:bookmarkStart w:id="54" w:name="_Toc11758"/>
      <w:bookmarkStart w:id="55" w:name="_Toc18868"/>
      <w:bookmarkStart w:id="56" w:name="_Toc215734353"/>
      <w:bookmarkStart w:id="57" w:name="_Toc29767"/>
      <w:r>
        <w:rPr>
          <w:rFonts w:eastAsia="黑体" w:hint="eastAsia"/>
        </w:rPr>
        <w:t>四、与国际、国外同类标准技术内容的对比情况</w:t>
      </w:r>
      <w:bookmarkEnd w:id="51"/>
      <w:bookmarkEnd w:id="52"/>
      <w:bookmarkEnd w:id="53"/>
      <w:bookmarkEnd w:id="54"/>
      <w:bookmarkEnd w:id="55"/>
      <w:bookmarkEnd w:id="56"/>
      <w:bookmarkEnd w:id="57"/>
    </w:p>
    <w:p w14:paraId="67D68939" w14:textId="1E01AD82" w:rsidR="00A2664F" w:rsidRDefault="00000000">
      <w:pPr>
        <w:adjustRightInd w:val="0"/>
        <w:snapToGrid w:val="0"/>
        <w:rPr>
          <w:rFonts w:eastAsia="仿宋_GB2312"/>
        </w:rPr>
      </w:pPr>
      <w:bookmarkStart w:id="58" w:name="_Toc14425"/>
      <w:bookmarkStart w:id="59" w:name="_Toc31361"/>
      <w:bookmarkStart w:id="60" w:name="_Toc23707"/>
      <w:bookmarkStart w:id="61" w:name="_Toc21008"/>
      <w:bookmarkStart w:id="62" w:name="_Toc16323"/>
      <w:bookmarkStart w:id="63" w:name="_Toc25667"/>
      <w:r>
        <w:rPr>
          <w:rFonts w:eastAsia="仿宋_GB2312" w:hint="eastAsia"/>
        </w:rPr>
        <w:t>在国际层面，</w:t>
      </w:r>
      <w:r>
        <w:rPr>
          <w:rFonts w:eastAsia="仿宋_GB2312" w:hint="eastAsia"/>
        </w:rPr>
        <w:t>IMO A.1119</w:t>
      </w:r>
      <w:proofErr w:type="gramStart"/>
      <w:r>
        <w:rPr>
          <w:rFonts w:eastAsia="仿宋_GB2312" w:hint="eastAsia"/>
        </w:rPr>
        <w:t>(30)</w:t>
      </w:r>
      <w:proofErr w:type="gramEnd"/>
      <w:r>
        <w:rPr>
          <w:rFonts w:eastAsia="仿宋_GB2312" w:hint="eastAsia"/>
        </w:rPr>
        <w:t>《船用燃油交付单统一标准》规定了</w:t>
      </w:r>
      <w:r>
        <w:rPr>
          <w:rFonts w:eastAsia="仿宋_GB2312" w:hint="eastAsia"/>
        </w:rPr>
        <w:t>BDN</w:t>
      </w:r>
      <w:r>
        <w:rPr>
          <w:rFonts w:eastAsia="仿宋_GB2312" w:hint="eastAsia"/>
        </w:rPr>
        <w:t>的统一格式与必备信息，</w:t>
      </w:r>
      <w:r>
        <w:rPr>
          <w:rFonts w:eastAsia="仿宋_GB2312" w:hint="eastAsia"/>
        </w:rPr>
        <w:t>ISO 8217:2024</w:t>
      </w:r>
      <w:r>
        <w:rPr>
          <w:rFonts w:eastAsia="仿宋_GB2312" w:hint="eastAsia"/>
        </w:rPr>
        <w:t>《石油产品</w:t>
      </w:r>
      <w:r>
        <w:rPr>
          <w:rFonts w:eastAsia="仿宋_GB2312" w:hint="eastAsia"/>
        </w:rPr>
        <w:t xml:space="preserve"> </w:t>
      </w:r>
      <w:r>
        <w:rPr>
          <w:rFonts w:eastAsia="仿宋_GB2312" w:hint="eastAsia"/>
        </w:rPr>
        <w:t>燃料（</w:t>
      </w:r>
      <w:r>
        <w:rPr>
          <w:rFonts w:eastAsia="仿宋_GB2312" w:hint="eastAsia"/>
        </w:rPr>
        <w:t>F</w:t>
      </w:r>
      <w:r>
        <w:rPr>
          <w:rFonts w:eastAsia="仿宋_GB2312" w:hint="eastAsia"/>
        </w:rPr>
        <w:t>类）船用燃料规范》规定了船用燃料的质量要求，</w:t>
      </w:r>
      <w:r>
        <w:rPr>
          <w:rFonts w:eastAsia="仿宋_GB2312" w:hint="eastAsia"/>
        </w:rPr>
        <w:t>ISO 23765:2021/GB/T 45487</w:t>
      </w:r>
      <w:r>
        <w:rPr>
          <w:rFonts w:eastAsia="仿宋_GB2312" w:hint="eastAsia"/>
        </w:rPr>
        <w:t>—</w:t>
      </w:r>
      <w:r>
        <w:rPr>
          <w:rFonts w:eastAsia="仿宋_GB2312" w:hint="eastAsia"/>
        </w:rPr>
        <w:t>2025</w:t>
      </w:r>
      <w:r>
        <w:rPr>
          <w:rFonts w:eastAsia="仿宋_GB2312" w:hint="eastAsia"/>
        </w:rPr>
        <w:t>《船舶与海上技术</w:t>
      </w:r>
      <w:r>
        <w:rPr>
          <w:rFonts w:eastAsia="仿宋_GB2312" w:hint="eastAsia"/>
        </w:rPr>
        <w:t xml:space="preserve"> </w:t>
      </w:r>
      <w:r>
        <w:rPr>
          <w:rFonts w:eastAsia="仿宋_GB2312" w:hint="eastAsia"/>
        </w:rPr>
        <w:t>海上环境保护</w:t>
      </w:r>
      <w:r>
        <w:rPr>
          <w:rFonts w:eastAsia="仿宋_GB2312" w:hint="eastAsia"/>
        </w:rPr>
        <w:t xml:space="preserve"> </w:t>
      </w:r>
      <w:r>
        <w:rPr>
          <w:rFonts w:eastAsia="仿宋_GB2312" w:hint="eastAsia"/>
        </w:rPr>
        <w:t>船舶燃油消耗数据收集规范》规定了船舶燃油消耗数据收集要求，</w:t>
      </w:r>
      <w:r>
        <w:rPr>
          <w:rFonts w:eastAsia="仿宋_GB2312" w:hint="eastAsia"/>
        </w:rPr>
        <w:t>ISO 8217:2024</w:t>
      </w:r>
      <w:r>
        <w:rPr>
          <w:rFonts w:eastAsia="仿宋_GB2312" w:hint="eastAsia"/>
        </w:rPr>
        <w:t>、</w:t>
      </w:r>
      <w:r>
        <w:rPr>
          <w:rFonts w:eastAsia="仿宋_GB2312" w:hint="eastAsia"/>
        </w:rPr>
        <w:t>ISO 19030</w:t>
      </w:r>
      <w:r>
        <w:rPr>
          <w:rFonts w:eastAsia="仿宋_GB2312" w:hint="eastAsia"/>
        </w:rPr>
        <w:t>等标准共同构成船用燃料供应领域的国际标准体系。上述国际文件主要针对物理</w:t>
      </w:r>
      <w:r>
        <w:rPr>
          <w:rFonts w:eastAsia="仿宋_GB2312" w:hint="eastAsia"/>
        </w:rPr>
        <w:t>BDN</w:t>
      </w:r>
      <w:r>
        <w:rPr>
          <w:rFonts w:eastAsia="仿宋_GB2312" w:hint="eastAsia"/>
        </w:rPr>
        <w:t>的内容格式、燃料质量及消耗数据收集，对电子单证的三元属性、全生命周期闭环管理、可靠电子签名、登记存证及争议处置等系统性技术规范尚不充分。</w:t>
      </w:r>
    </w:p>
    <w:p w14:paraId="2C5B4126" w14:textId="051F3176" w:rsidR="00A2664F" w:rsidRDefault="00000000">
      <w:pPr>
        <w:adjustRightInd w:val="0"/>
        <w:snapToGrid w:val="0"/>
      </w:pPr>
      <w:r>
        <w:rPr>
          <w:rFonts w:eastAsia="仿宋_GB2312" w:hint="eastAsia"/>
        </w:rPr>
        <w:t>本文件在充分借鉴</w:t>
      </w:r>
      <w:r>
        <w:rPr>
          <w:rFonts w:eastAsia="仿宋_GB2312" w:hint="eastAsia"/>
        </w:rPr>
        <w:t>IMO</w:t>
      </w:r>
      <w:r>
        <w:rPr>
          <w:rFonts w:eastAsia="仿宋_GB2312" w:hint="eastAsia"/>
        </w:rPr>
        <w:t>、</w:t>
      </w:r>
      <w:r>
        <w:rPr>
          <w:rFonts w:eastAsia="仿宋_GB2312" w:hint="eastAsia"/>
        </w:rPr>
        <w:t>ISO</w:t>
      </w:r>
      <w:r>
        <w:rPr>
          <w:rFonts w:eastAsia="仿宋_GB2312" w:hint="eastAsia"/>
        </w:rPr>
        <w:t>等国际通行规则的基础上，结合我国船用燃料供应业务与监管实际，创新性地确立了电子单证三元属性、七项一般原则及生成、签署、登记、流转、核验、失效</w:t>
      </w:r>
      <w:r>
        <w:rPr>
          <w:rFonts w:eastAsia="仿宋_GB2312" w:hint="eastAsia"/>
        </w:rPr>
        <w:t>/</w:t>
      </w:r>
      <w:r>
        <w:rPr>
          <w:rFonts w:eastAsia="仿宋_GB2312" w:hint="eastAsia"/>
        </w:rPr>
        <w:t>变更、归档全流程闭环管理框架，填补了国内船用燃料供应电子单证通用技术规范的空白。本文</w:t>
      </w:r>
      <w:r>
        <w:rPr>
          <w:rFonts w:eastAsia="仿宋_GB2312" w:hint="eastAsia"/>
        </w:rPr>
        <w:lastRenderedPageBreak/>
        <w:t>件的技术内容与</w:t>
      </w:r>
      <w:r>
        <w:rPr>
          <w:rFonts w:eastAsia="仿宋_GB2312" w:hint="eastAsia"/>
        </w:rPr>
        <w:t>IMO A.1119</w:t>
      </w:r>
      <w:proofErr w:type="gramStart"/>
      <w:r>
        <w:rPr>
          <w:rFonts w:eastAsia="仿宋_GB2312" w:hint="eastAsia"/>
        </w:rPr>
        <w:t>(30)</w:t>
      </w:r>
      <w:proofErr w:type="gramEnd"/>
      <w:r>
        <w:rPr>
          <w:rFonts w:eastAsia="仿宋_GB2312" w:hint="eastAsia"/>
        </w:rPr>
        <w:t>、</w:t>
      </w:r>
      <w:r>
        <w:rPr>
          <w:rFonts w:eastAsia="仿宋_GB2312" w:hint="eastAsia"/>
        </w:rPr>
        <w:t>ISO 8217</w:t>
      </w:r>
      <w:r>
        <w:rPr>
          <w:rFonts w:eastAsia="仿宋_GB2312" w:hint="eastAsia"/>
        </w:rPr>
        <w:t>、</w:t>
      </w:r>
      <w:r>
        <w:rPr>
          <w:rFonts w:eastAsia="仿宋_GB2312" w:hint="eastAsia"/>
        </w:rPr>
        <w:t>ISO 23765:2021</w:t>
      </w:r>
      <w:r>
        <w:rPr>
          <w:rFonts w:eastAsia="仿宋_GB2312" w:hint="eastAsia"/>
        </w:rPr>
        <w:t>等国际标准在</w:t>
      </w:r>
      <w:r>
        <w:rPr>
          <w:rFonts w:eastAsia="仿宋_GB2312" w:hint="eastAsia"/>
        </w:rPr>
        <w:t>BDN</w:t>
      </w:r>
      <w:r>
        <w:rPr>
          <w:rFonts w:eastAsia="仿宋_GB2312" w:hint="eastAsia"/>
        </w:rPr>
        <w:t>必备信息、燃料质量与数据记录要求上保持协调一致，具备与国际规则对接的兼容性。</w:t>
      </w:r>
    </w:p>
    <w:p w14:paraId="43DF28CB" w14:textId="77777777" w:rsidR="00A2664F" w:rsidRDefault="00000000">
      <w:pPr>
        <w:pStyle w:val="1"/>
        <w:adjustRightInd w:val="0"/>
        <w:snapToGrid w:val="0"/>
        <w:spacing w:beforeLines="50" w:before="156" w:afterLines="50" w:after="156" w:line="360" w:lineRule="auto"/>
        <w:ind w:firstLineChars="0" w:firstLine="0"/>
        <w:rPr>
          <w:rFonts w:eastAsia="黑体"/>
        </w:rPr>
      </w:pPr>
      <w:bookmarkStart w:id="64" w:name="_Toc215734354"/>
      <w:r>
        <w:rPr>
          <w:rFonts w:eastAsia="黑体" w:hint="eastAsia"/>
        </w:rPr>
        <w:t>五、以国际标准为基础的起草情况，以及是否合规引用或</w:t>
      </w:r>
      <w:r>
        <w:rPr>
          <w:rFonts w:eastAsia="黑体" w:hint="eastAsia"/>
        </w:rPr>
        <w:t xml:space="preserve"> </w:t>
      </w:r>
      <w:r>
        <w:rPr>
          <w:rFonts w:eastAsia="黑体" w:hint="eastAsia"/>
        </w:rPr>
        <w:t>者采用国际国外标准，并说明未采用国际标准的原因</w:t>
      </w:r>
      <w:bookmarkEnd w:id="58"/>
      <w:bookmarkEnd w:id="59"/>
      <w:bookmarkEnd w:id="60"/>
      <w:bookmarkEnd w:id="61"/>
      <w:bookmarkEnd w:id="62"/>
      <w:bookmarkEnd w:id="63"/>
      <w:bookmarkEnd w:id="64"/>
    </w:p>
    <w:p w14:paraId="632CD35A" w14:textId="77777777" w:rsidR="00A2664F" w:rsidRDefault="00000000">
      <w:pPr>
        <w:adjustRightInd w:val="0"/>
        <w:snapToGrid w:val="0"/>
        <w:rPr>
          <w:rFonts w:eastAsia="仿宋_GB2312"/>
        </w:rPr>
      </w:pPr>
      <w:bookmarkStart w:id="65" w:name="_Hlk192670303"/>
      <w:r>
        <w:rPr>
          <w:rFonts w:eastAsia="仿宋_GB2312" w:hint="eastAsia"/>
        </w:rPr>
        <w:t>本文件在术语、业务规则上与</w:t>
      </w:r>
      <w:r>
        <w:rPr>
          <w:rFonts w:eastAsia="仿宋_GB2312" w:hint="eastAsia"/>
        </w:rPr>
        <w:t>IMO</w:t>
      </w:r>
      <w:r>
        <w:rPr>
          <w:rFonts w:eastAsia="仿宋_GB2312" w:hint="eastAsia"/>
        </w:rPr>
        <w:t>、</w:t>
      </w:r>
      <w:r>
        <w:rPr>
          <w:rFonts w:eastAsia="仿宋_GB2312" w:hint="eastAsia"/>
        </w:rPr>
        <w:t>ISO</w:t>
      </w:r>
      <w:r>
        <w:rPr>
          <w:rFonts w:eastAsia="仿宋_GB2312" w:hint="eastAsia"/>
        </w:rPr>
        <w:t>相关标准保持协调，采用了对标与合规引用相结合的方式，未直接以某一国际标准为基础进行等同采用起草，主要原因如下：</w:t>
      </w:r>
    </w:p>
    <w:p w14:paraId="49B51B35" w14:textId="75938CD5" w:rsidR="00A2664F" w:rsidRDefault="00000000">
      <w:pPr>
        <w:adjustRightInd w:val="0"/>
        <w:snapToGrid w:val="0"/>
        <w:rPr>
          <w:rFonts w:eastAsia="仿宋_GB2312"/>
        </w:rPr>
      </w:pPr>
      <w:r>
        <w:rPr>
          <w:rFonts w:eastAsia="仿宋_GB2312" w:hint="eastAsia"/>
        </w:rPr>
        <w:t>一是国际上尚无专门针对船用燃料供应电子单证全生命周期管理的系统性、完整性标准，</w:t>
      </w:r>
      <w:r>
        <w:rPr>
          <w:rFonts w:eastAsia="仿宋_GB2312" w:hint="eastAsia"/>
        </w:rPr>
        <w:t>IMO A.1119</w:t>
      </w:r>
      <w:proofErr w:type="gramStart"/>
      <w:r>
        <w:rPr>
          <w:rFonts w:eastAsia="仿宋_GB2312" w:hint="eastAsia"/>
        </w:rPr>
        <w:t>(30)</w:t>
      </w:r>
      <w:proofErr w:type="gramEnd"/>
      <w:r>
        <w:rPr>
          <w:rFonts w:eastAsia="仿宋_GB2312" w:hint="eastAsia"/>
        </w:rPr>
        <w:t>、</w:t>
      </w:r>
      <w:r>
        <w:rPr>
          <w:rFonts w:eastAsia="仿宋_GB2312" w:hint="eastAsia"/>
        </w:rPr>
        <w:t>ISO 8217</w:t>
      </w:r>
      <w:r>
        <w:rPr>
          <w:rFonts w:eastAsia="仿宋_GB2312" w:hint="eastAsia"/>
        </w:rPr>
        <w:t>、</w:t>
      </w:r>
      <w:r>
        <w:rPr>
          <w:rFonts w:eastAsia="仿宋_GB2312" w:hint="eastAsia"/>
        </w:rPr>
        <w:t>ISO 23765:2021</w:t>
      </w:r>
      <w:r>
        <w:rPr>
          <w:rFonts w:eastAsia="仿宋_GB2312" w:hint="eastAsia"/>
        </w:rPr>
        <w:t>等分别覆盖</w:t>
      </w:r>
      <w:r>
        <w:rPr>
          <w:rFonts w:eastAsia="仿宋_GB2312" w:hint="eastAsia"/>
        </w:rPr>
        <w:t>BDN</w:t>
      </w:r>
      <w:r>
        <w:rPr>
          <w:rFonts w:eastAsia="仿宋_GB2312" w:hint="eastAsia"/>
        </w:rPr>
        <w:t>格式、燃料质量、消耗数据收集等局部环节，缺乏覆盖“三元属性—全流程—争议处置”的通用体系；二是我国船用燃料供应在保税油监管、海关物料申报、港口作业流程等方面具有自身制度特点，直接等同采用国际标准难以适配国内监管与业务实际；三是我国船用燃料供应电子单证实践发展迅速，亟需构建自主可控、科学适用的技术规范体系，规范行业发展、保障产业安全，并提升我国在船舶燃料供应数字化标准领域的规则话语权。因此，本文件以国内法规和业务实际为基础，合理借鉴国际通行规则，形成具有自主技术特征的通用要求。</w:t>
      </w:r>
    </w:p>
    <w:p w14:paraId="43E18F3A" w14:textId="77777777" w:rsidR="00A2664F" w:rsidRDefault="00000000">
      <w:pPr>
        <w:pStyle w:val="1"/>
        <w:adjustRightInd w:val="0"/>
        <w:snapToGrid w:val="0"/>
        <w:spacing w:beforeLines="50" w:before="156" w:afterLines="50" w:after="156" w:line="360" w:lineRule="auto"/>
        <w:ind w:firstLineChars="0" w:firstLine="0"/>
        <w:rPr>
          <w:rFonts w:eastAsia="黑体"/>
        </w:rPr>
      </w:pPr>
      <w:bookmarkStart w:id="66" w:name="_Toc215734355"/>
      <w:bookmarkStart w:id="67" w:name="_Toc11611"/>
      <w:bookmarkStart w:id="68" w:name="_Toc22300"/>
      <w:bookmarkStart w:id="69" w:name="_Toc5513"/>
      <w:bookmarkStart w:id="70" w:name="_Toc15393"/>
      <w:bookmarkStart w:id="71" w:name="_Toc32305"/>
      <w:bookmarkStart w:id="72" w:name="_Toc29245"/>
      <w:bookmarkEnd w:id="65"/>
      <w:r>
        <w:rPr>
          <w:rFonts w:eastAsia="黑体" w:hint="eastAsia"/>
        </w:rPr>
        <w:lastRenderedPageBreak/>
        <w:t>六、与有关法律、行政法规及相关标准的关系</w:t>
      </w:r>
      <w:bookmarkEnd w:id="66"/>
      <w:bookmarkEnd w:id="67"/>
      <w:bookmarkEnd w:id="68"/>
      <w:bookmarkEnd w:id="69"/>
      <w:bookmarkEnd w:id="70"/>
      <w:bookmarkEnd w:id="71"/>
      <w:bookmarkEnd w:id="72"/>
    </w:p>
    <w:p w14:paraId="3F408F25" w14:textId="77777777" w:rsidR="00A2664F" w:rsidRDefault="00000000">
      <w:pPr>
        <w:adjustRightInd w:val="0"/>
        <w:snapToGrid w:val="0"/>
        <w:rPr>
          <w:rFonts w:eastAsia="仿宋_GB2312"/>
        </w:rPr>
      </w:pPr>
      <w:r>
        <w:rPr>
          <w:rFonts w:eastAsia="仿宋_GB2312" w:hint="eastAsia"/>
        </w:rPr>
        <w:t>本文件紧密契合我国绿色发展与数字经济理念，在法律衔接、标准协调与领域补充方面形成完整逻辑体系。在法律衔接层面，本文件关于可靠电子签名的规定遵循《中华人民共和国电子签名法》关于可靠电子签名的要求，关于数据安全、平台安全的要求遵循《中华人民共和国网络安全法》《中华人民共和国数据安全法》，关于单证留存、监管申报的要求衔接《中华人民共和国海关进出境运输工具监管办法》《中华人民共和国海关运输工具起卸</w:t>
      </w:r>
      <w:r>
        <w:rPr>
          <w:rFonts w:eastAsia="仿宋_GB2312" w:hint="eastAsia"/>
        </w:rPr>
        <w:t>/</w:t>
      </w:r>
      <w:r>
        <w:rPr>
          <w:rFonts w:eastAsia="仿宋_GB2312" w:hint="eastAsia"/>
        </w:rPr>
        <w:t>添加物料申报单》等海关监管规定，并与《中华人民共和国船舶及其有关作业活动污染海洋环境防治管理规定》相协调。</w:t>
      </w:r>
    </w:p>
    <w:p w14:paraId="2AC04793" w14:textId="77777777" w:rsidR="00A2664F" w:rsidRDefault="00000000">
      <w:pPr>
        <w:adjustRightInd w:val="0"/>
        <w:snapToGrid w:val="0"/>
        <w:rPr>
          <w:rFonts w:eastAsia="仿宋_GB2312"/>
        </w:rPr>
      </w:pPr>
      <w:r>
        <w:rPr>
          <w:rFonts w:eastAsia="仿宋_GB2312" w:hint="eastAsia"/>
        </w:rPr>
        <w:t>在相关标准协调与针对性补充层面，本文件与现行国家及国际相关标准保持高度一致性，核心参考依据包括：</w:t>
      </w:r>
    </w:p>
    <w:p w14:paraId="2D8690AB" w14:textId="69B6DCC8" w:rsidR="00A2664F" w:rsidRDefault="00000000">
      <w:pPr>
        <w:adjustRightInd w:val="0"/>
        <w:snapToGrid w:val="0"/>
        <w:rPr>
          <w:rFonts w:eastAsia="仿宋_GB2312"/>
        </w:rPr>
      </w:pPr>
      <w:r>
        <w:rPr>
          <w:rFonts w:eastAsia="仿宋_GB2312" w:hint="eastAsia"/>
        </w:rPr>
        <w:t>1</w:t>
      </w:r>
      <w:r>
        <w:rPr>
          <w:rFonts w:eastAsia="仿宋_GB2312" w:hint="eastAsia"/>
        </w:rPr>
        <w:t>）</w:t>
      </w:r>
      <w:r>
        <w:rPr>
          <w:rFonts w:eastAsia="仿宋_GB2312" w:hint="eastAsia"/>
        </w:rPr>
        <w:t>GB/T 25346</w:t>
      </w:r>
      <w:r>
        <w:rPr>
          <w:rFonts w:eastAsia="仿宋_GB2312" w:hint="eastAsia"/>
        </w:rPr>
        <w:t>—</w:t>
      </w:r>
      <w:r>
        <w:rPr>
          <w:rFonts w:eastAsia="仿宋_GB2312" w:hint="eastAsia"/>
        </w:rPr>
        <w:t>2020</w:t>
      </w:r>
      <w:r>
        <w:rPr>
          <w:rFonts w:eastAsia="仿宋_GB2312" w:hint="eastAsia"/>
        </w:rPr>
        <w:t>《</w:t>
      </w:r>
      <w:r w:rsidR="00B55653" w:rsidRPr="00B55653">
        <w:rPr>
          <w:rFonts w:eastAsia="仿宋_GB2312"/>
        </w:rPr>
        <w:t>船舶供受燃油规程</w:t>
      </w:r>
      <w:r>
        <w:rPr>
          <w:rFonts w:eastAsia="仿宋_GB2312" w:hint="eastAsia"/>
        </w:rPr>
        <w:t>》；</w:t>
      </w:r>
    </w:p>
    <w:p w14:paraId="1E68C7CA" w14:textId="77777777" w:rsidR="00A2664F" w:rsidRDefault="00000000">
      <w:pPr>
        <w:adjustRightInd w:val="0"/>
        <w:snapToGrid w:val="0"/>
        <w:rPr>
          <w:rFonts w:eastAsia="仿宋_GB2312"/>
        </w:rPr>
      </w:pPr>
      <w:r>
        <w:rPr>
          <w:rFonts w:eastAsia="仿宋_GB2312" w:hint="eastAsia"/>
        </w:rPr>
        <w:t>2</w:t>
      </w:r>
      <w:r>
        <w:rPr>
          <w:rFonts w:eastAsia="仿宋_GB2312" w:hint="eastAsia"/>
        </w:rPr>
        <w:t>）</w:t>
      </w:r>
      <w:r>
        <w:rPr>
          <w:rFonts w:eastAsia="仿宋_GB2312" w:hint="eastAsia"/>
        </w:rPr>
        <w:t>GB/T 35285</w:t>
      </w:r>
      <w:r>
        <w:rPr>
          <w:rFonts w:eastAsia="仿宋_GB2312" w:hint="eastAsia"/>
        </w:rPr>
        <w:t>—</w:t>
      </w:r>
      <w:r>
        <w:rPr>
          <w:rFonts w:eastAsia="仿宋_GB2312" w:hint="eastAsia"/>
        </w:rPr>
        <w:t>2017</w:t>
      </w:r>
      <w:r>
        <w:rPr>
          <w:rFonts w:eastAsia="仿宋_GB2312" w:hint="eastAsia"/>
        </w:rPr>
        <w:t>《信息安全技术</w:t>
      </w:r>
      <w:r>
        <w:rPr>
          <w:rFonts w:eastAsia="仿宋_GB2312" w:hint="eastAsia"/>
        </w:rPr>
        <w:t xml:space="preserve"> </w:t>
      </w:r>
      <w:r>
        <w:rPr>
          <w:rFonts w:eastAsia="仿宋_GB2312" w:hint="eastAsia"/>
        </w:rPr>
        <w:t>公钥基础设施</w:t>
      </w:r>
      <w:r>
        <w:rPr>
          <w:rFonts w:eastAsia="仿宋_GB2312" w:hint="eastAsia"/>
        </w:rPr>
        <w:t xml:space="preserve"> </w:t>
      </w:r>
      <w:r>
        <w:rPr>
          <w:rFonts w:eastAsia="仿宋_GB2312" w:hint="eastAsia"/>
        </w:rPr>
        <w:t>基于数字证书的可靠电子签名生成及验证技术要求》；</w:t>
      </w:r>
    </w:p>
    <w:p w14:paraId="34C557CA" w14:textId="77777777" w:rsidR="00A2664F" w:rsidRDefault="00000000">
      <w:pPr>
        <w:adjustRightInd w:val="0"/>
        <w:snapToGrid w:val="0"/>
        <w:rPr>
          <w:rFonts w:eastAsia="仿宋_GB2312"/>
        </w:rPr>
      </w:pPr>
      <w:r>
        <w:rPr>
          <w:rFonts w:eastAsia="仿宋_GB2312" w:hint="eastAsia"/>
        </w:rPr>
        <w:t>3</w:t>
      </w:r>
      <w:r>
        <w:rPr>
          <w:rFonts w:eastAsia="仿宋_GB2312" w:hint="eastAsia"/>
        </w:rPr>
        <w:t>）</w:t>
      </w:r>
      <w:r>
        <w:rPr>
          <w:rFonts w:eastAsia="仿宋_GB2312" w:hint="eastAsia"/>
        </w:rPr>
        <w:t>GB/T 25064</w:t>
      </w:r>
      <w:r>
        <w:rPr>
          <w:rFonts w:eastAsia="仿宋_GB2312" w:hint="eastAsia"/>
        </w:rPr>
        <w:t>《信息安全技术</w:t>
      </w:r>
      <w:r>
        <w:rPr>
          <w:rFonts w:eastAsia="仿宋_GB2312" w:hint="eastAsia"/>
        </w:rPr>
        <w:t xml:space="preserve"> </w:t>
      </w:r>
      <w:r>
        <w:rPr>
          <w:rFonts w:eastAsia="仿宋_GB2312" w:hint="eastAsia"/>
        </w:rPr>
        <w:t>电子签名格式规范》；</w:t>
      </w:r>
    </w:p>
    <w:p w14:paraId="11C5BE32" w14:textId="77777777" w:rsidR="00A2664F" w:rsidRDefault="00000000">
      <w:pPr>
        <w:adjustRightInd w:val="0"/>
        <w:snapToGrid w:val="0"/>
        <w:rPr>
          <w:rFonts w:eastAsia="仿宋_GB2312"/>
        </w:rPr>
      </w:pPr>
      <w:r>
        <w:rPr>
          <w:rFonts w:eastAsia="仿宋_GB2312" w:hint="eastAsia"/>
        </w:rPr>
        <w:t>4</w:t>
      </w:r>
      <w:r>
        <w:rPr>
          <w:rFonts w:eastAsia="仿宋_GB2312" w:hint="eastAsia"/>
        </w:rPr>
        <w:t>）</w:t>
      </w:r>
      <w:r>
        <w:rPr>
          <w:rFonts w:eastAsia="仿宋_GB2312" w:hint="eastAsia"/>
        </w:rPr>
        <w:t>GB/T 7408.1</w:t>
      </w:r>
      <w:r>
        <w:rPr>
          <w:rFonts w:eastAsia="仿宋_GB2312" w:hint="eastAsia"/>
        </w:rPr>
        <w:t>—</w:t>
      </w:r>
      <w:r>
        <w:rPr>
          <w:rFonts w:eastAsia="仿宋_GB2312" w:hint="eastAsia"/>
        </w:rPr>
        <w:t>2023</w:t>
      </w:r>
      <w:r>
        <w:rPr>
          <w:rFonts w:eastAsia="仿宋_GB2312" w:hint="eastAsia"/>
        </w:rPr>
        <w:t>《日期和时间信息交换表示法</w:t>
      </w:r>
      <w:r>
        <w:rPr>
          <w:rFonts w:eastAsia="仿宋_GB2312" w:hint="eastAsia"/>
        </w:rPr>
        <w:t xml:space="preserve"> </w:t>
      </w:r>
      <w:r>
        <w:rPr>
          <w:rFonts w:eastAsia="仿宋_GB2312" w:hint="eastAsia"/>
        </w:rPr>
        <w:t>第</w:t>
      </w:r>
      <w:r>
        <w:rPr>
          <w:rFonts w:eastAsia="仿宋_GB2312" w:hint="eastAsia"/>
        </w:rPr>
        <w:t>1</w:t>
      </w:r>
      <w:r>
        <w:rPr>
          <w:rFonts w:eastAsia="仿宋_GB2312" w:hint="eastAsia"/>
        </w:rPr>
        <w:t>部分：基本原则》；</w:t>
      </w:r>
    </w:p>
    <w:p w14:paraId="6A1E4786" w14:textId="77777777" w:rsidR="00A2664F" w:rsidRDefault="00000000">
      <w:pPr>
        <w:adjustRightInd w:val="0"/>
        <w:snapToGrid w:val="0"/>
        <w:rPr>
          <w:rFonts w:eastAsia="仿宋_GB2312"/>
        </w:rPr>
      </w:pPr>
      <w:r>
        <w:rPr>
          <w:rFonts w:eastAsia="仿宋_GB2312" w:hint="eastAsia"/>
        </w:rPr>
        <w:t>5</w:t>
      </w:r>
      <w:r>
        <w:rPr>
          <w:rFonts w:eastAsia="仿宋_GB2312" w:hint="eastAsia"/>
        </w:rPr>
        <w:t>）</w:t>
      </w:r>
      <w:r>
        <w:rPr>
          <w:rFonts w:eastAsia="仿宋_GB2312" w:hint="eastAsia"/>
        </w:rPr>
        <w:t>GB/T 22239</w:t>
      </w:r>
      <w:r>
        <w:rPr>
          <w:rFonts w:eastAsia="仿宋_GB2312" w:hint="eastAsia"/>
        </w:rPr>
        <w:t>《信息安全技术</w:t>
      </w:r>
      <w:r>
        <w:rPr>
          <w:rFonts w:eastAsia="仿宋_GB2312" w:hint="eastAsia"/>
        </w:rPr>
        <w:t xml:space="preserve"> </w:t>
      </w:r>
      <w:r>
        <w:rPr>
          <w:rFonts w:eastAsia="仿宋_GB2312" w:hint="eastAsia"/>
        </w:rPr>
        <w:t>网络安全等级保护基本要求》；</w:t>
      </w:r>
    </w:p>
    <w:p w14:paraId="26AAC4D6" w14:textId="5CDCBFFB" w:rsidR="00A2664F" w:rsidRDefault="00000000">
      <w:pPr>
        <w:adjustRightInd w:val="0"/>
        <w:snapToGrid w:val="0"/>
        <w:rPr>
          <w:rFonts w:eastAsia="仿宋_GB2312"/>
        </w:rPr>
      </w:pPr>
      <w:r>
        <w:rPr>
          <w:rFonts w:eastAsia="仿宋_GB2312" w:hint="eastAsia"/>
        </w:rPr>
        <w:t>6</w:t>
      </w:r>
      <w:r>
        <w:rPr>
          <w:rFonts w:eastAsia="仿宋_GB2312" w:hint="eastAsia"/>
        </w:rPr>
        <w:t>）</w:t>
      </w:r>
      <w:r>
        <w:rPr>
          <w:rFonts w:eastAsia="仿宋_GB2312" w:hint="eastAsia"/>
        </w:rPr>
        <w:t>IMO A.1119</w:t>
      </w:r>
      <w:proofErr w:type="gramStart"/>
      <w:r>
        <w:rPr>
          <w:rFonts w:eastAsia="仿宋_GB2312" w:hint="eastAsia"/>
        </w:rPr>
        <w:t>(30)</w:t>
      </w:r>
      <w:proofErr w:type="gramEnd"/>
      <w:r>
        <w:rPr>
          <w:rFonts w:eastAsia="仿宋_GB2312" w:hint="eastAsia"/>
        </w:rPr>
        <w:t>《船用燃油交付单统一标准》、</w:t>
      </w:r>
      <w:r>
        <w:rPr>
          <w:rFonts w:eastAsia="仿宋_GB2312" w:hint="eastAsia"/>
        </w:rPr>
        <w:t xml:space="preserve">ISO </w:t>
      </w:r>
      <w:r>
        <w:rPr>
          <w:rFonts w:eastAsia="仿宋_GB2312" w:hint="eastAsia"/>
        </w:rPr>
        <w:lastRenderedPageBreak/>
        <w:t>8217</w:t>
      </w:r>
      <w:r>
        <w:rPr>
          <w:rFonts w:eastAsia="仿宋_GB2312" w:hint="eastAsia"/>
        </w:rPr>
        <w:t>、</w:t>
      </w:r>
      <w:r>
        <w:rPr>
          <w:rFonts w:eastAsia="仿宋_GB2312" w:hint="eastAsia"/>
        </w:rPr>
        <w:t>ISO 23765:2021</w:t>
      </w:r>
      <w:r>
        <w:rPr>
          <w:rFonts w:eastAsia="仿宋_GB2312" w:hint="eastAsia"/>
        </w:rPr>
        <w:t>等国际规则。；</w:t>
      </w:r>
      <w:r>
        <w:rPr>
          <w:rFonts w:eastAsia="仿宋_GB2312" w:hint="eastAsia"/>
        </w:rPr>
        <w:t>7</w:t>
      </w:r>
      <w:r>
        <w:rPr>
          <w:rFonts w:eastAsia="仿宋_GB2312" w:hint="eastAsia"/>
        </w:rPr>
        <w:t>）</w:t>
      </w:r>
      <w:r>
        <w:rPr>
          <w:rFonts w:eastAsia="仿宋_GB2312" w:hint="eastAsia"/>
        </w:rPr>
        <w:t>T/CBS 2222</w:t>
      </w:r>
      <w:r>
        <w:rPr>
          <w:rFonts w:eastAsia="仿宋_GB2312" w:hint="eastAsia"/>
        </w:rPr>
        <w:t>《船用燃料供应电子单证技术规范</w:t>
      </w:r>
      <w:r>
        <w:rPr>
          <w:rFonts w:eastAsia="仿宋_GB2312" w:hint="eastAsia"/>
        </w:rPr>
        <w:t xml:space="preserve"> </w:t>
      </w:r>
      <w:r>
        <w:rPr>
          <w:rFonts w:eastAsia="仿宋_GB2312" w:hint="eastAsia"/>
        </w:rPr>
        <w:t>第</w:t>
      </w:r>
      <w:r>
        <w:rPr>
          <w:rFonts w:eastAsia="仿宋_GB2312" w:hint="eastAsia"/>
        </w:rPr>
        <w:t>2</w:t>
      </w:r>
      <w:r>
        <w:rPr>
          <w:rFonts w:eastAsia="仿宋_GB2312" w:hint="eastAsia"/>
        </w:rPr>
        <w:t>部分：信息平台与数据接口要求》、</w:t>
      </w:r>
      <w:r>
        <w:rPr>
          <w:rFonts w:eastAsia="仿宋_GB2312" w:hint="eastAsia"/>
        </w:rPr>
        <w:t>T/CBS 3333</w:t>
      </w:r>
      <w:r>
        <w:rPr>
          <w:rFonts w:eastAsia="仿宋_GB2312" w:hint="eastAsia"/>
        </w:rPr>
        <w:t>《船用燃料供应电子单证技术规范</w:t>
      </w:r>
      <w:r>
        <w:rPr>
          <w:rFonts w:eastAsia="仿宋_GB2312" w:hint="eastAsia"/>
        </w:rPr>
        <w:t xml:space="preserve"> </w:t>
      </w:r>
      <w:r>
        <w:rPr>
          <w:rFonts w:eastAsia="仿宋_GB2312" w:hint="eastAsia"/>
        </w:rPr>
        <w:t>第</w:t>
      </w:r>
      <w:r>
        <w:rPr>
          <w:rFonts w:eastAsia="仿宋_GB2312" w:hint="eastAsia"/>
        </w:rPr>
        <w:t>3</w:t>
      </w:r>
      <w:r>
        <w:rPr>
          <w:rFonts w:eastAsia="仿宋_GB2312" w:hint="eastAsia"/>
        </w:rPr>
        <w:t>部分：辅助单据基本信息要求》。</w:t>
      </w:r>
    </w:p>
    <w:p w14:paraId="004E0177" w14:textId="77777777" w:rsidR="00A2664F" w:rsidRDefault="00000000">
      <w:pPr>
        <w:adjustRightInd w:val="0"/>
        <w:snapToGrid w:val="0"/>
        <w:rPr>
          <w:rFonts w:eastAsia="仿宋_GB2312"/>
        </w:rPr>
      </w:pPr>
      <w:r>
        <w:rPr>
          <w:rFonts w:eastAsia="仿宋_GB2312" w:hint="eastAsia"/>
        </w:rPr>
        <w:t>本文件与现行法律、法规和强制性国家标准无冲突，与相关其他现行同类标准无冲突；在对标国际、国内相关标准的基础上，立足我国船用燃料供应业务与监管实际进行优化完善，与现有标准互为补充、协同配套，共同构成船用燃料供应电子单证标准体系。</w:t>
      </w:r>
    </w:p>
    <w:p w14:paraId="4B9ADCCA" w14:textId="77777777" w:rsidR="00A2664F" w:rsidRDefault="00000000">
      <w:pPr>
        <w:pStyle w:val="1"/>
        <w:adjustRightInd w:val="0"/>
        <w:snapToGrid w:val="0"/>
        <w:spacing w:beforeLines="50" w:before="156" w:afterLines="50" w:after="156" w:line="360" w:lineRule="auto"/>
        <w:ind w:firstLineChars="0" w:firstLine="0"/>
        <w:rPr>
          <w:rFonts w:eastAsia="黑体"/>
        </w:rPr>
      </w:pPr>
      <w:bookmarkStart w:id="73" w:name="_Toc215734356"/>
      <w:bookmarkStart w:id="74" w:name="_Toc14092"/>
      <w:bookmarkStart w:id="75" w:name="_Toc18178"/>
      <w:bookmarkStart w:id="76" w:name="_Toc31818"/>
      <w:bookmarkStart w:id="77" w:name="_Toc9514"/>
      <w:bookmarkStart w:id="78" w:name="_Toc14082"/>
      <w:bookmarkStart w:id="79" w:name="_Toc28060"/>
      <w:r>
        <w:rPr>
          <w:rFonts w:eastAsia="黑体" w:hint="eastAsia"/>
        </w:rPr>
        <w:t>七、重大分歧意见的处理经过和依据</w:t>
      </w:r>
      <w:bookmarkEnd w:id="73"/>
      <w:bookmarkEnd w:id="74"/>
      <w:bookmarkEnd w:id="75"/>
      <w:bookmarkEnd w:id="76"/>
      <w:bookmarkEnd w:id="77"/>
      <w:bookmarkEnd w:id="78"/>
      <w:bookmarkEnd w:id="79"/>
    </w:p>
    <w:p w14:paraId="0F1511D2" w14:textId="77777777" w:rsidR="00A2664F" w:rsidRDefault="00000000">
      <w:pPr>
        <w:adjustRightInd w:val="0"/>
        <w:snapToGrid w:val="0"/>
        <w:rPr>
          <w:rFonts w:eastAsia="仿宋_GB2312"/>
        </w:rPr>
      </w:pPr>
      <w:r>
        <w:rPr>
          <w:rFonts w:eastAsia="仿宋_GB2312" w:hint="eastAsia"/>
        </w:rPr>
        <w:t>无重大分歧。</w:t>
      </w:r>
    </w:p>
    <w:p w14:paraId="36595E63" w14:textId="77777777" w:rsidR="00A2664F" w:rsidRDefault="00000000">
      <w:pPr>
        <w:pStyle w:val="1"/>
        <w:adjustRightInd w:val="0"/>
        <w:snapToGrid w:val="0"/>
        <w:spacing w:beforeLines="50" w:before="156" w:afterLines="50" w:after="156" w:line="360" w:lineRule="auto"/>
        <w:ind w:firstLineChars="0" w:firstLine="0"/>
        <w:rPr>
          <w:rFonts w:eastAsia="黑体"/>
        </w:rPr>
      </w:pPr>
      <w:bookmarkStart w:id="80" w:name="_Toc28275"/>
      <w:bookmarkStart w:id="81" w:name="_Toc215734357"/>
      <w:bookmarkStart w:id="82" w:name="_Toc24243"/>
      <w:bookmarkStart w:id="83" w:name="_Toc11533"/>
      <w:bookmarkStart w:id="84" w:name="_Toc18890"/>
      <w:bookmarkStart w:id="85" w:name="_Toc25073"/>
      <w:bookmarkStart w:id="86" w:name="_Toc3371"/>
      <w:r>
        <w:rPr>
          <w:rFonts w:eastAsia="黑体" w:hint="eastAsia"/>
        </w:rPr>
        <w:t>八、涉及专利的有关说明</w:t>
      </w:r>
      <w:bookmarkEnd w:id="80"/>
      <w:bookmarkEnd w:id="81"/>
      <w:bookmarkEnd w:id="82"/>
      <w:bookmarkEnd w:id="83"/>
      <w:bookmarkEnd w:id="84"/>
      <w:bookmarkEnd w:id="85"/>
      <w:bookmarkEnd w:id="86"/>
      <w:r>
        <w:rPr>
          <w:rFonts w:eastAsia="黑体" w:hint="eastAsia"/>
        </w:rPr>
        <w:t xml:space="preserve"> </w:t>
      </w:r>
    </w:p>
    <w:p w14:paraId="1D86BF2E" w14:textId="77777777" w:rsidR="00A2664F" w:rsidRDefault="00000000">
      <w:pPr>
        <w:adjustRightInd w:val="0"/>
        <w:snapToGrid w:val="0"/>
        <w:rPr>
          <w:rFonts w:eastAsia="仿宋_GB2312"/>
        </w:rPr>
      </w:pPr>
      <w:r>
        <w:rPr>
          <w:rFonts w:eastAsia="仿宋_GB2312"/>
        </w:rPr>
        <w:t>本文件不涉及必要专利。需要说明的是，本文件的某些内容可能涉及专利，本文件的发布机构不承担识别专利的责任；建议实施者在应用本文件时，就相关技术方案的知识产权状况进行必要评估</w:t>
      </w:r>
      <w:r>
        <w:rPr>
          <w:rFonts w:eastAsia="仿宋_GB2312" w:hint="eastAsia"/>
        </w:rPr>
        <w:t>。</w:t>
      </w:r>
    </w:p>
    <w:p w14:paraId="5560F890" w14:textId="77777777" w:rsidR="00A2664F" w:rsidRDefault="00000000">
      <w:pPr>
        <w:pStyle w:val="1"/>
        <w:adjustRightInd w:val="0"/>
        <w:snapToGrid w:val="0"/>
        <w:spacing w:beforeLines="50" w:before="156" w:afterLines="50" w:after="156" w:line="360" w:lineRule="auto"/>
        <w:ind w:firstLineChars="0" w:firstLine="0"/>
        <w:rPr>
          <w:rFonts w:eastAsia="黑体"/>
        </w:rPr>
      </w:pPr>
      <w:bookmarkStart w:id="87" w:name="_Toc17974"/>
      <w:bookmarkStart w:id="88" w:name="_Toc12563"/>
      <w:bookmarkStart w:id="89" w:name="_Toc215734358"/>
      <w:bookmarkStart w:id="90" w:name="_Toc10216"/>
      <w:bookmarkStart w:id="91" w:name="_Toc8594"/>
      <w:bookmarkStart w:id="92" w:name="_Toc23979"/>
      <w:bookmarkStart w:id="93" w:name="_Toc24836"/>
      <w:r>
        <w:rPr>
          <w:rFonts w:eastAsia="黑体" w:hint="eastAsia"/>
        </w:rPr>
        <w:t>九、实施标准的要求，以及组织措施、技术措施、过渡期和实施日期的建议等措施建议</w:t>
      </w:r>
      <w:bookmarkEnd w:id="87"/>
      <w:bookmarkEnd w:id="88"/>
      <w:bookmarkEnd w:id="89"/>
      <w:bookmarkEnd w:id="90"/>
      <w:bookmarkEnd w:id="91"/>
      <w:bookmarkEnd w:id="92"/>
      <w:bookmarkEnd w:id="93"/>
    </w:p>
    <w:p w14:paraId="042C96A4" w14:textId="77777777" w:rsidR="00A2664F" w:rsidRDefault="00000000">
      <w:pPr>
        <w:adjustRightInd w:val="0"/>
        <w:snapToGrid w:val="0"/>
        <w:rPr>
          <w:rFonts w:eastAsia="仿宋_GB2312"/>
        </w:rPr>
      </w:pPr>
      <w:r>
        <w:rPr>
          <w:rFonts w:eastAsia="仿宋_GB2312" w:hint="eastAsia"/>
        </w:rPr>
        <w:t>（一）</w:t>
      </w:r>
      <w:r>
        <w:rPr>
          <w:rFonts w:eastAsia="仿宋_GB2312"/>
        </w:rPr>
        <w:t>建议建立健全标准实施监督机制，由归口单位牵头，联合行业主管部门、燃料供应企业、航运企业、检验认证机构及科研院所，通过试点应用强化标准对船用燃</w:t>
      </w:r>
      <w:r>
        <w:rPr>
          <w:rFonts w:eastAsia="仿宋_GB2312"/>
        </w:rPr>
        <w:lastRenderedPageBreak/>
        <w:t>料供应电子单证活动的管控引导，推动标准要求与行业数字化、绿色化转型目标深度衔接，确保标准落地实效。</w:t>
      </w:r>
    </w:p>
    <w:p w14:paraId="3D9BBB63" w14:textId="77777777" w:rsidR="00A2664F" w:rsidRDefault="00000000">
      <w:pPr>
        <w:adjustRightInd w:val="0"/>
        <w:snapToGrid w:val="0"/>
        <w:rPr>
          <w:rFonts w:eastAsia="仿宋_GB2312"/>
        </w:rPr>
      </w:pPr>
      <w:r>
        <w:rPr>
          <w:rFonts w:eastAsia="仿宋_GB2312"/>
        </w:rPr>
        <w:t>（二）设立常态化标准反馈渠道，通过线上反馈平台、专项调研、企业座谈会等形式，系统收集燃料供应企业、航运企业、检验机构、信息化平台运营方等标准使用单位在实施过程中遇到的技术难题、场景适配问题及优化建议；在此基础上，定期开展标准实施效果评估，结合产业发展、技术迭代、监管政策调整等新需求，适时启动标准修订工作，持续保障标准的科学性、实用性与时效性</w:t>
      </w:r>
      <w:r>
        <w:rPr>
          <w:rFonts w:eastAsia="仿宋_GB2312" w:hint="eastAsia"/>
        </w:rPr>
        <w:t>。</w:t>
      </w:r>
    </w:p>
    <w:p w14:paraId="1A70AC72" w14:textId="77777777" w:rsidR="00A2664F" w:rsidRDefault="00000000">
      <w:pPr>
        <w:rPr>
          <w:rFonts w:eastAsia="仿宋_GB2312" w:cs="仿宋_GB2312"/>
        </w:rPr>
      </w:pPr>
      <w:r>
        <w:rPr>
          <w:rFonts w:eastAsia="仿宋_GB2312" w:cs="仿宋_GB2312" w:hint="eastAsia"/>
        </w:rPr>
        <w:t>（三）</w:t>
      </w:r>
      <w:r>
        <w:rPr>
          <w:rFonts w:eastAsia="仿宋_GB2312" w:cs="仿宋_GB2312"/>
        </w:rPr>
        <w:t>建议给予本文件发布后</w:t>
      </w:r>
      <w:r>
        <w:rPr>
          <w:rFonts w:eastAsia="仿宋_GB2312" w:cs="仿宋_GB2312"/>
        </w:rPr>
        <w:t>3</w:t>
      </w:r>
      <w:r>
        <w:rPr>
          <w:rFonts w:eastAsia="仿宋_GB2312" w:cs="仿宋_GB2312"/>
        </w:rPr>
        <w:t>～</w:t>
      </w:r>
      <w:r>
        <w:rPr>
          <w:rFonts w:eastAsia="仿宋_GB2312" w:cs="仿宋_GB2312"/>
        </w:rPr>
        <w:t>6</w:t>
      </w:r>
      <w:r>
        <w:rPr>
          <w:rFonts w:eastAsia="仿宋_GB2312" w:cs="仿宋_GB2312"/>
        </w:rPr>
        <w:t>个月的过渡期，以便相关主体完成</w:t>
      </w:r>
      <w:r>
        <w:rPr>
          <w:rFonts w:eastAsia="仿宋_GB2312" w:cs="仿宋_GB2312"/>
        </w:rPr>
        <w:t>e-BDN</w:t>
      </w:r>
      <w:r>
        <w:rPr>
          <w:rFonts w:eastAsia="仿宋_GB2312" w:cs="仿宋_GB2312"/>
        </w:rPr>
        <w:t>信息平台建设与改造、电子签名与存证能力对接、人员培训及历史单证衔接等前期准备工作，确保团体标准平稳落地</w:t>
      </w:r>
      <w:r>
        <w:rPr>
          <w:rFonts w:eastAsia="仿宋_GB2312" w:cs="仿宋_GB2312" w:hint="eastAsia"/>
        </w:rPr>
        <w:t>。</w:t>
      </w:r>
    </w:p>
    <w:p w14:paraId="6F943EF8" w14:textId="77777777" w:rsidR="00A2664F" w:rsidRDefault="00000000">
      <w:pPr>
        <w:pStyle w:val="1"/>
        <w:adjustRightInd w:val="0"/>
        <w:snapToGrid w:val="0"/>
        <w:spacing w:beforeLines="50" w:before="156" w:afterLines="50" w:after="156" w:line="360" w:lineRule="auto"/>
        <w:ind w:firstLineChars="0" w:firstLine="0"/>
        <w:rPr>
          <w:rFonts w:eastAsia="黑体"/>
        </w:rPr>
      </w:pPr>
      <w:bookmarkStart w:id="94" w:name="_Toc27398"/>
      <w:bookmarkStart w:id="95" w:name="_Toc16047"/>
      <w:bookmarkStart w:id="96" w:name="_Toc18442"/>
      <w:bookmarkStart w:id="97" w:name="_Toc215734359"/>
      <w:bookmarkStart w:id="98" w:name="_Toc7183"/>
      <w:bookmarkStart w:id="99" w:name="_Toc32433"/>
      <w:bookmarkStart w:id="100" w:name="_Toc3041"/>
      <w:r>
        <w:rPr>
          <w:rFonts w:eastAsia="黑体" w:hint="eastAsia"/>
        </w:rPr>
        <w:t>十、其他应当说明的事项</w:t>
      </w:r>
      <w:bookmarkEnd w:id="94"/>
      <w:bookmarkEnd w:id="95"/>
      <w:bookmarkEnd w:id="96"/>
      <w:bookmarkEnd w:id="97"/>
      <w:bookmarkEnd w:id="98"/>
      <w:bookmarkEnd w:id="99"/>
      <w:bookmarkEnd w:id="100"/>
    </w:p>
    <w:p w14:paraId="09C27DAC" w14:textId="0A382BC2" w:rsidR="001271B5" w:rsidRPr="00AD6D34" w:rsidRDefault="00000000" w:rsidP="00AD6D34">
      <w:pPr>
        <w:adjustRightInd w:val="0"/>
        <w:snapToGrid w:val="0"/>
      </w:pPr>
      <w:r>
        <w:rPr>
          <w:rFonts w:eastAsia="仿宋_GB2312"/>
        </w:rPr>
        <w:t>本文件是《船用燃料供应电子单证技术规范》系列标准的第</w:t>
      </w:r>
      <w:r>
        <w:rPr>
          <w:rFonts w:eastAsia="仿宋_GB2312"/>
        </w:rPr>
        <w:t>1</w:t>
      </w:r>
      <w:r>
        <w:rPr>
          <w:rFonts w:eastAsia="仿宋_GB2312"/>
        </w:rPr>
        <w:t>部分（通用要求），其实施需要与第</w:t>
      </w:r>
      <w:r>
        <w:rPr>
          <w:rFonts w:eastAsia="仿宋_GB2312"/>
        </w:rPr>
        <w:t>2</w:t>
      </w:r>
      <w:r>
        <w:rPr>
          <w:rFonts w:eastAsia="仿宋_GB2312"/>
        </w:rPr>
        <w:t>部分《信息平台与数据接口要求》、第</w:t>
      </w:r>
      <w:r>
        <w:rPr>
          <w:rFonts w:eastAsia="仿宋_GB2312"/>
        </w:rPr>
        <w:t>3</w:t>
      </w:r>
      <w:r>
        <w:rPr>
          <w:rFonts w:eastAsia="仿宋_GB2312"/>
        </w:rPr>
        <w:t>部分《辅助单据基本信息要求》协同配套；相关单据的具体字段、格式及接口细节</w:t>
      </w:r>
      <w:r>
        <w:rPr>
          <w:rFonts w:eastAsia="仿宋_GB2312" w:hint="eastAsia"/>
        </w:rPr>
        <w:t>等</w:t>
      </w:r>
      <w:r>
        <w:rPr>
          <w:rFonts w:eastAsia="仿宋_GB2312"/>
        </w:rPr>
        <w:t>，以系列标准第</w:t>
      </w:r>
      <w:r>
        <w:rPr>
          <w:rFonts w:eastAsia="仿宋_GB2312"/>
        </w:rPr>
        <w:t>2</w:t>
      </w:r>
      <w:r>
        <w:rPr>
          <w:rFonts w:eastAsia="仿宋_GB2312"/>
        </w:rPr>
        <w:t>部分、第</w:t>
      </w:r>
      <w:r>
        <w:rPr>
          <w:rFonts w:eastAsia="仿宋_GB2312"/>
        </w:rPr>
        <w:t>3</w:t>
      </w:r>
      <w:r>
        <w:rPr>
          <w:rFonts w:eastAsia="仿宋_GB2312"/>
        </w:rPr>
        <w:t>部分的规定为准</w:t>
      </w:r>
      <w:r>
        <w:rPr>
          <w:rFonts w:eastAsia="仿宋_GB2312" w:hint="eastAsia"/>
        </w:rPr>
        <w:t>。</w:t>
      </w:r>
    </w:p>
    <w:sectPr w:rsidR="001271B5" w:rsidRPr="00AD6D34">
      <w:footerReference w:type="default" r:id="rId16"/>
      <w:pgSz w:w="11906" w:h="16838"/>
      <w:pgMar w:top="1440" w:right="1800" w:bottom="1440" w:left="1800" w:header="851" w:footer="850"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E3D476" w14:textId="77777777" w:rsidR="001271B5" w:rsidRDefault="001271B5">
      <w:pPr>
        <w:spacing w:line="240" w:lineRule="auto"/>
      </w:pPr>
      <w:r>
        <w:separator/>
      </w:r>
    </w:p>
  </w:endnote>
  <w:endnote w:type="continuationSeparator" w:id="0">
    <w:p w14:paraId="075FCC48" w14:textId="77777777" w:rsidR="001271B5" w:rsidRDefault="001271B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黑体">
    <w:altName w:val="SimHei"/>
    <w:panose1 w:val="02010609060101010101"/>
    <w:charset w:val="86"/>
    <w:family w:val="modern"/>
    <w:pitch w:val="fixed"/>
    <w:sig w:usb0="800002BF" w:usb1="38CF7CFA"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楷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仿宋_GB2312">
    <w:altName w:val="仿宋"/>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700809" w14:textId="77777777" w:rsidR="00A2664F" w:rsidRDefault="00A2664F">
    <w:pPr>
      <w:pStyle w:val="ae"/>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7DAFDF" w14:textId="77777777" w:rsidR="00A2664F" w:rsidRDefault="00A2664F">
    <w:pPr>
      <w:pStyle w:val="ae"/>
      <w:ind w:firstLine="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62414F" w14:textId="77777777" w:rsidR="00A2664F" w:rsidRDefault="00A2664F">
    <w:pPr>
      <w:pStyle w:val="ae"/>
      <w:ind w:firstLine="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6C6103" w14:textId="77777777" w:rsidR="00A2664F" w:rsidRDefault="00000000">
    <w:pPr>
      <w:pStyle w:val="ae"/>
      <w:ind w:firstLine="360"/>
    </w:pPr>
    <w:r>
      <w:rPr>
        <w:noProof/>
      </w:rPr>
      <mc:AlternateContent>
        <mc:Choice Requires="wps">
          <w:drawing>
            <wp:anchor distT="0" distB="0" distL="114300" distR="114300" simplePos="0" relativeHeight="251659264" behindDoc="0" locked="0" layoutInCell="1" allowOverlap="1" wp14:anchorId="740578AE" wp14:editId="10F3923E">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2966BD5" w14:textId="77777777" w:rsidR="00A2664F" w:rsidRDefault="00000000">
                          <w:pPr>
                            <w:pStyle w:val="ae"/>
                            <w:ind w:firstLine="36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xmlns:wpsCustomData="http://www.wps.cn/officeDocument/2013/wpsCustomData">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305F699C">
                    <w:pPr>
                      <w:pStyle w:val="9"/>
                      <w:ind w:firstLine="360"/>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8A349A" w14:textId="77777777" w:rsidR="00A2664F" w:rsidRDefault="00000000">
    <w:pPr>
      <w:pStyle w:val="ae"/>
      <w:ind w:firstLine="360"/>
    </w:pPr>
    <w:r>
      <w:rPr>
        <w:noProof/>
      </w:rPr>
      <mc:AlternateContent>
        <mc:Choice Requires="wps">
          <w:drawing>
            <wp:anchor distT="0" distB="0" distL="114300" distR="114300" simplePos="0" relativeHeight="251660288" behindDoc="0" locked="0" layoutInCell="1" allowOverlap="1" wp14:anchorId="6B3DFEB5" wp14:editId="446149B5">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9D558B9" w14:textId="77777777" w:rsidR="00A2664F" w:rsidRDefault="00000000">
                          <w:pPr>
                            <w:pStyle w:val="ae"/>
                            <w:ind w:firstLine="360"/>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xmlns:wpsCustomData="http://www.wps.cn/officeDocument/2013/wpsCustomData">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14:paraId="562A27C7">
                    <w:pPr>
                      <w:pStyle w:val="9"/>
                      <w:ind w:firstLine="360"/>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7468031"/>
    </w:sdtPr>
    <w:sdtContent>
      <w:p w14:paraId="03912C8D" w14:textId="77777777" w:rsidR="00A2664F" w:rsidRDefault="00000000">
        <w:pPr>
          <w:pStyle w:val="ae"/>
          <w:ind w:firstLine="360"/>
          <w:jc w:val="center"/>
        </w:pPr>
        <w:r>
          <w:rPr>
            <w:sz w:val="24"/>
            <w:szCs w:val="24"/>
          </w:rPr>
          <w:fldChar w:fldCharType="begin"/>
        </w:r>
        <w:r>
          <w:rPr>
            <w:sz w:val="24"/>
            <w:szCs w:val="24"/>
          </w:rPr>
          <w:instrText>PAGE   \* MERGEFORMAT</w:instrText>
        </w:r>
        <w:r>
          <w:rPr>
            <w:sz w:val="24"/>
            <w:szCs w:val="24"/>
          </w:rPr>
          <w:fldChar w:fldCharType="separate"/>
        </w:r>
        <w:r>
          <w:rPr>
            <w:sz w:val="24"/>
            <w:szCs w:val="24"/>
            <w:lang w:val="zh-CN"/>
          </w:rPr>
          <w:t>2</w:t>
        </w:r>
        <w:r>
          <w:rPr>
            <w:sz w:val="24"/>
            <w:szCs w:val="24"/>
          </w:rPr>
          <w:fldChar w:fldCharType="end"/>
        </w:r>
      </w:p>
    </w:sdtContent>
  </w:sdt>
  <w:p w14:paraId="7366D74A" w14:textId="77777777" w:rsidR="00A2664F" w:rsidRDefault="00A2664F">
    <w:pPr>
      <w:pStyle w:val="ae"/>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6E5BB2" w14:textId="77777777" w:rsidR="001271B5" w:rsidRDefault="001271B5">
      <w:r>
        <w:separator/>
      </w:r>
    </w:p>
  </w:footnote>
  <w:footnote w:type="continuationSeparator" w:id="0">
    <w:p w14:paraId="33BB3606" w14:textId="77777777" w:rsidR="001271B5" w:rsidRDefault="001271B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593F1A" w14:textId="77777777" w:rsidR="00A2664F" w:rsidRDefault="00A2664F">
    <w:pPr>
      <w:pStyle w:val="af0"/>
      <w:ind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4B73AB" w14:textId="77777777" w:rsidR="00A2664F" w:rsidRDefault="00A2664F">
    <w:pPr>
      <w:pStyle w:val="af0"/>
      <w:pBdr>
        <w:bottom w:val="none" w:sz="0" w:space="1" w:color="auto"/>
      </w:pBdr>
      <w:ind w:firstLine="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6AF009" w14:textId="77777777" w:rsidR="00A2664F" w:rsidRDefault="00A2664F">
    <w:pPr>
      <w:pStyle w:val="af0"/>
      <w:ind w:firstLine="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6"/>
    <w:multiLevelType w:val="multilevel"/>
    <w:tmpl w:val="00000006"/>
    <w:lvl w:ilvl="0">
      <w:start w:val="1"/>
      <w:numFmt w:val="decimal"/>
      <w:pStyle w:val="a"/>
      <w:suff w:val="nothing"/>
      <w:lvlText w:val="%1　"/>
      <w:lvlJc w:val="left"/>
      <w:pPr>
        <w:ind w:left="142" w:firstLine="0"/>
      </w:pPr>
      <w:rPr>
        <w:rFonts w:ascii="黑体" w:eastAsia="黑体" w:hAnsi="Times New Roman" w:hint="default"/>
        <w:b w:val="0"/>
        <w:i w:val="0"/>
        <w:sz w:val="32"/>
        <w:szCs w:val="32"/>
      </w:rPr>
    </w:lvl>
    <w:lvl w:ilvl="1">
      <w:start w:val="1"/>
      <w:numFmt w:val="decimal"/>
      <w:pStyle w:val="a0"/>
      <w:suff w:val="nothing"/>
      <w:lvlText w:val="%1.%2　"/>
      <w:lvlJc w:val="left"/>
      <w:pPr>
        <w:ind w:left="992" w:firstLine="0"/>
      </w:pPr>
      <w:rPr>
        <w:rFonts w:ascii="黑体" w:eastAsia="黑体" w:hAnsi="Times New Roman" w:cs="Times New Roman" w:hint="default"/>
        <w:b w:val="0"/>
        <w:bCs w:val="0"/>
        <w:i w:val="0"/>
        <w:iCs w:val="0"/>
        <w:caps w:val="0"/>
        <w:vanish w:val="0"/>
        <w:color w:val="000000"/>
        <w:spacing w:val="0"/>
        <w:kern w:val="0"/>
        <w:position w:val="0"/>
        <w:sz w:val="32"/>
        <w:szCs w:val="32"/>
        <w:u w:val="none"/>
        <w:vertAlign w:val="baseline"/>
        <w14:shadow w14:blurRad="0" w14:dist="0" w14:dir="0" w14:sx="0" w14:sy="0" w14:kx="0" w14:ky="0" w14:algn="none">
          <w14:srgbClr w14:val="000000"/>
        </w14:shadow>
      </w:rPr>
    </w:lvl>
    <w:lvl w:ilvl="2">
      <w:start w:val="1"/>
      <w:numFmt w:val="decimal"/>
      <w:suff w:val="nothing"/>
      <w:lvlText w:val="%1.%2.%3　"/>
      <w:lvlJc w:val="left"/>
      <w:pPr>
        <w:ind w:left="3969" w:firstLine="0"/>
      </w:pPr>
      <w:rPr>
        <w:rFonts w:ascii="黑体" w:eastAsia="黑体" w:hAnsi="Times New Roman" w:hint="default"/>
        <w:b w:val="0"/>
        <w:i w:val="0"/>
        <w:sz w:val="32"/>
        <w:szCs w:val="28"/>
      </w:rPr>
    </w:lvl>
    <w:lvl w:ilvl="3">
      <w:start w:val="1"/>
      <w:numFmt w:val="decimal"/>
      <w:suff w:val="nothing"/>
      <w:lvlText w:val="%1.%2.%3.%4　"/>
      <w:lvlJc w:val="left"/>
      <w:pPr>
        <w:ind w:left="0" w:firstLine="0"/>
      </w:pPr>
      <w:rPr>
        <w:rFonts w:ascii="黑体" w:eastAsia="黑体" w:hAnsi="Times New Roman" w:hint="eastAsia"/>
        <w:b w:val="0"/>
        <w:i w:val="0"/>
        <w:sz w:val="21"/>
      </w:rPr>
    </w:lvl>
    <w:lvl w:ilvl="4">
      <w:start w:val="1"/>
      <w:numFmt w:val="decimal"/>
      <w:suff w:val="nothing"/>
      <w:lvlText w:val="%1.%2.%3.%4.%5　"/>
      <w:lvlJc w:val="left"/>
      <w:pPr>
        <w:ind w:left="0" w:firstLine="0"/>
      </w:pPr>
      <w:rPr>
        <w:rFonts w:ascii="黑体" w:eastAsia="黑体" w:hAnsi="Times New Roman" w:hint="eastAsia"/>
        <w:b w:val="0"/>
        <w:i w:val="0"/>
        <w:sz w:val="21"/>
      </w:rPr>
    </w:lvl>
    <w:lvl w:ilvl="5">
      <w:start w:val="1"/>
      <w:numFmt w:val="decimal"/>
      <w:suff w:val="nothing"/>
      <w:lvlText w:val="%1.%2.%3.%4.%5.%6　"/>
      <w:lvlJc w:val="left"/>
      <w:pPr>
        <w:ind w:left="0" w:firstLine="0"/>
      </w:pPr>
      <w:rPr>
        <w:rFonts w:ascii="黑体" w:eastAsia="黑体" w:hAnsi="Times New Roman" w:hint="eastAsia"/>
        <w:b w:val="0"/>
        <w:i w:val="0"/>
        <w:sz w:val="21"/>
      </w:rPr>
    </w:lvl>
    <w:lvl w:ilvl="6">
      <w:start w:val="1"/>
      <w:numFmt w:val="decimal"/>
      <w:suff w:val="nothing"/>
      <w:lvlText w:val="%1%2.%3.%4.%5.%6.%7　"/>
      <w:lvlJc w:val="left"/>
      <w:pPr>
        <w:ind w:left="0" w:firstLine="0"/>
      </w:pPr>
      <w:rPr>
        <w:rFonts w:ascii="黑体" w:eastAsia="黑体" w:hAnsi="Times New Roman" w:hint="eastAsia"/>
        <w:b w:val="0"/>
        <w:i w:val="0"/>
        <w:sz w:val="21"/>
      </w:rPr>
    </w:lvl>
    <w:lvl w:ilvl="7">
      <w:start w:val="1"/>
      <w:numFmt w:val="decimal"/>
      <w:lvlText w:val="%1.%2.%3.%4.%5.%6.%7.%8"/>
      <w:lvlJc w:val="left"/>
      <w:pPr>
        <w:tabs>
          <w:tab w:val="left" w:pos="4351"/>
        </w:tabs>
        <w:ind w:left="3969" w:hanging="1418"/>
      </w:pPr>
      <w:rPr>
        <w:rFonts w:hint="eastAsia"/>
      </w:rPr>
    </w:lvl>
    <w:lvl w:ilvl="8">
      <w:start w:val="1"/>
      <w:numFmt w:val="decimal"/>
      <w:lvlText w:val="%1.%2.%3.%4.%5.%6.%7.%8.%9"/>
      <w:lvlJc w:val="left"/>
      <w:pPr>
        <w:tabs>
          <w:tab w:val="left" w:pos="4777"/>
        </w:tabs>
        <w:ind w:left="4677" w:hanging="1700"/>
      </w:pPr>
      <w:rPr>
        <w:rFonts w:hint="eastAsia"/>
      </w:rPr>
    </w:lvl>
  </w:abstractNum>
  <w:abstractNum w:abstractNumId="1" w15:restartNumberingAfterBreak="0">
    <w:nsid w:val="079102AD"/>
    <w:multiLevelType w:val="multilevel"/>
    <w:tmpl w:val="079102AD"/>
    <w:lvl w:ilvl="0">
      <w:start w:val="1"/>
      <w:numFmt w:val="decimal"/>
      <w:pStyle w:val="a1"/>
      <w:suff w:val="nothing"/>
      <w:lvlText w:val="注%1："/>
      <w:lvlJc w:val="left"/>
      <w:pPr>
        <w:ind w:left="811" w:hanging="448"/>
      </w:pPr>
      <w:rPr>
        <w:rFonts w:ascii="黑体" w:eastAsia="黑体" w:hint="eastAsia"/>
        <w:b w:val="0"/>
        <w:i w:val="0"/>
        <w:sz w:val="18"/>
      </w:rPr>
    </w:lvl>
    <w:lvl w:ilvl="1">
      <w:start w:val="1"/>
      <w:numFmt w:val="lowerLetter"/>
      <w:lvlText w:val="%2)"/>
      <w:lvlJc w:val="left"/>
      <w:pPr>
        <w:tabs>
          <w:tab w:val="left" w:pos="0"/>
        </w:tabs>
        <w:ind w:left="992" w:hanging="629"/>
      </w:pPr>
      <w:rPr>
        <w:rFonts w:hint="eastAsia"/>
      </w:rPr>
    </w:lvl>
    <w:lvl w:ilvl="2">
      <w:start w:val="1"/>
      <w:numFmt w:val="lowerRoman"/>
      <w:lvlText w:val="%3."/>
      <w:lvlJc w:val="right"/>
      <w:pPr>
        <w:tabs>
          <w:tab w:val="left" w:pos="0"/>
        </w:tabs>
        <w:ind w:left="992" w:hanging="629"/>
      </w:pPr>
      <w:rPr>
        <w:rFonts w:hint="eastAsia"/>
      </w:rPr>
    </w:lvl>
    <w:lvl w:ilvl="3">
      <w:start w:val="1"/>
      <w:numFmt w:val="decimal"/>
      <w:lvlText w:val="%4."/>
      <w:lvlJc w:val="left"/>
      <w:pPr>
        <w:tabs>
          <w:tab w:val="left" w:pos="0"/>
        </w:tabs>
        <w:ind w:left="992" w:hanging="629"/>
      </w:pPr>
      <w:rPr>
        <w:rFonts w:hint="eastAsia"/>
      </w:rPr>
    </w:lvl>
    <w:lvl w:ilvl="4">
      <w:start w:val="1"/>
      <w:numFmt w:val="lowerLetter"/>
      <w:lvlText w:val="%5)"/>
      <w:lvlJc w:val="left"/>
      <w:pPr>
        <w:tabs>
          <w:tab w:val="left" w:pos="0"/>
        </w:tabs>
        <w:ind w:left="992" w:hanging="629"/>
      </w:pPr>
      <w:rPr>
        <w:rFonts w:hint="eastAsia"/>
      </w:rPr>
    </w:lvl>
    <w:lvl w:ilvl="5">
      <w:start w:val="1"/>
      <w:numFmt w:val="lowerRoman"/>
      <w:lvlText w:val="%6."/>
      <w:lvlJc w:val="right"/>
      <w:pPr>
        <w:tabs>
          <w:tab w:val="left" w:pos="0"/>
        </w:tabs>
        <w:ind w:left="992" w:hanging="629"/>
      </w:pPr>
      <w:rPr>
        <w:rFonts w:hint="eastAsia"/>
      </w:rPr>
    </w:lvl>
    <w:lvl w:ilvl="6">
      <w:start w:val="1"/>
      <w:numFmt w:val="decimal"/>
      <w:lvlText w:val="%7."/>
      <w:lvlJc w:val="left"/>
      <w:pPr>
        <w:tabs>
          <w:tab w:val="left" w:pos="0"/>
        </w:tabs>
        <w:ind w:left="992" w:hanging="629"/>
      </w:pPr>
      <w:rPr>
        <w:rFonts w:hint="eastAsia"/>
      </w:rPr>
    </w:lvl>
    <w:lvl w:ilvl="7">
      <w:start w:val="1"/>
      <w:numFmt w:val="lowerLetter"/>
      <w:lvlText w:val="%8)"/>
      <w:lvlJc w:val="left"/>
      <w:pPr>
        <w:tabs>
          <w:tab w:val="left" w:pos="0"/>
        </w:tabs>
        <w:ind w:left="992" w:hanging="629"/>
      </w:pPr>
      <w:rPr>
        <w:rFonts w:hint="eastAsia"/>
      </w:rPr>
    </w:lvl>
    <w:lvl w:ilvl="8">
      <w:start w:val="1"/>
      <w:numFmt w:val="lowerRoman"/>
      <w:lvlText w:val="%9."/>
      <w:lvlJc w:val="right"/>
      <w:pPr>
        <w:tabs>
          <w:tab w:val="left" w:pos="0"/>
        </w:tabs>
        <w:ind w:left="992" w:hanging="629"/>
      </w:pPr>
      <w:rPr>
        <w:rFonts w:hint="eastAsia"/>
      </w:rPr>
    </w:lvl>
  </w:abstractNum>
  <w:abstractNum w:abstractNumId="2" w15:restartNumberingAfterBreak="0">
    <w:nsid w:val="6CEA2025"/>
    <w:multiLevelType w:val="multilevel"/>
    <w:tmpl w:val="6CEA2025"/>
    <w:lvl w:ilvl="0">
      <w:start w:val="1"/>
      <w:numFmt w:val="none"/>
      <w:suff w:val="nothing"/>
      <w:lvlText w:val="%1"/>
      <w:lvlJc w:val="left"/>
      <w:pPr>
        <w:ind w:left="0" w:firstLine="0"/>
      </w:pPr>
      <w:rPr>
        <w:rFonts w:hint="eastAsia"/>
      </w:rPr>
    </w:lvl>
    <w:lvl w:ilvl="1">
      <w:start w:val="1"/>
      <w:numFmt w:val="decimal"/>
      <w:pStyle w:val="a2"/>
      <w:suff w:val="nothing"/>
      <w:lvlText w:val="%1%2　"/>
      <w:lvlJc w:val="left"/>
      <w:pPr>
        <w:ind w:left="0" w:firstLine="0"/>
      </w:pPr>
      <w:rPr>
        <w:rFonts w:ascii="黑体" w:eastAsia="黑体" w:hint="eastAsia"/>
        <w:b w:val="0"/>
        <w:i w:val="0"/>
        <w:sz w:val="21"/>
      </w:rPr>
    </w:lvl>
    <w:lvl w:ilvl="2">
      <w:start w:val="1"/>
      <w:numFmt w:val="decimal"/>
      <w:pStyle w:val="a3"/>
      <w:suff w:val="nothing"/>
      <w:lvlText w:val="%1%2.%3　"/>
      <w:lvlJc w:val="left"/>
      <w:pPr>
        <w:ind w:left="0" w:firstLine="0"/>
      </w:pPr>
      <w:rPr>
        <w:rFonts w:ascii="黑体" w:eastAsia="黑体" w:hAnsi="Times New Roman" w:cs="Times New Roman" w:hint="eastAsia"/>
        <w:b w:val="0"/>
        <w:bCs w:val="0"/>
        <w:i w:val="0"/>
        <w:iCs w:val="0"/>
        <w:caps w:val="0"/>
        <w:smallCaps w:val="0"/>
        <w:strike w:val="0"/>
        <w:dstrike w:val="0"/>
        <w:vanish w:val="0"/>
        <w:color w:val="000000"/>
        <w:spacing w:val="0"/>
        <w:kern w:val="0"/>
        <w:position w:val="0"/>
        <w:sz w:val="21"/>
        <w:u w:val="none"/>
        <w:vertAlign w:val="baseline"/>
      </w:rPr>
    </w:lvl>
    <w:lvl w:ilvl="3">
      <w:start w:val="1"/>
      <w:numFmt w:val="decimal"/>
      <w:pStyle w:val="a4"/>
      <w:suff w:val="nothing"/>
      <w:lvlText w:val="%1%2.%3.%4　"/>
      <w:lvlJc w:val="left"/>
      <w:pPr>
        <w:ind w:left="3685" w:firstLine="0"/>
      </w:pPr>
      <w:rPr>
        <w:rFonts w:ascii="黑体" w:eastAsia="黑体" w:hint="eastAsia"/>
        <w:b w:val="0"/>
        <w:i w:val="0"/>
        <w:sz w:val="21"/>
      </w:rPr>
    </w:lvl>
    <w:lvl w:ilvl="4">
      <w:start w:val="1"/>
      <w:numFmt w:val="decimal"/>
      <w:suff w:val="nothing"/>
      <w:lvlText w:val="%1%2.%3.%4.%5　"/>
      <w:lvlJc w:val="left"/>
      <w:pPr>
        <w:ind w:left="0" w:firstLine="0"/>
      </w:pPr>
      <w:rPr>
        <w:rFonts w:ascii="黑体" w:eastAsia="黑体" w:hint="eastAsia"/>
        <w:b w:val="0"/>
        <w:i w:val="0"/>
        <w:sz w:val="21"/>
      </w:rPr>
    </w:lvl>
    <w:lvl w:ilvl="5">
      <w:start w:val="1"/>
      <w:numFmt w:val="decimal"/>
      <w:suff w:val="nothing"/>
      <w:lvlText w:val="%1%2.%3.%4.%5.%6　"/>
      <w:lvlJc w:val="left"/>
      <w:pPr>
        <w:ind w:left="0" w:firstLine="0"/>
      </w:pPr>
      <w:rPr>
        <w:rFonts w:ascii="黑体" w:eastAsia="黑体" w:hint="eastAsia"/>
        <w:b w:val="0"/>
        <w:i w:val="0"/>
        <w:sz w:val="21"/>
      </w:rPr>
    </w:lvl>
    <w:lvl w:ilvl="6">
      <w:start w:val="1"/>
      <w:numFmt w:val="decimal"/>
      <w:suff w:val="nothing"/>
      <w:lvlText w:val="%1%2.%3.%4.%5.%6.%7　"/>
      <w:lvlJc w:val="left"/>
      <w:pPr>
        <w:ind w:left="0" w:firstLine="0"/>
      </w:pPr>
      <w:rPr>
        <w:rFonts w:ascii="黑体" w:eastAsia="黑体" w:hint="eastAsia"/>
        <w:b w:val="0"/>
        <w:i w:val="0"/>
        <w:sz w:val="21"/>
      </w:rPr>
    </w:lvl>
    <w:lvl w:ilvl="7">
      <w:start w:val="1"/>
      <w:numFmt w:val="decimal"/>
      <w:lvlText w:val="%1.%2.%3.%4.%5.%6.%7.%8"/>
      <w:lvlJc w:val="left"/>
      <w:pPr>
        <w:tabs>
          <w:tab w:val="left" w:pos="4351"/>
        </w:tabs>
        <w:ind w:left="3969" w:hanging="1418"/>
      </w:pPr>
      <w:rPr>
        <w:rFonts w:hint="eastAsia"/>
      </w:rPr>
    </w:lvl>
    <w:lvl w:ilvl="8">
      <w:start w:val="1"/>
      <w:numFmt w:val="decimal"/>
      <w:lvlText w:val="%1.%2.%3.%4.%5.%6.%7.%8.%9"/>
      <w:lvlJc w:val="left"/>
      <w:pPr>
        <w:tabs>
          <w:tab w:val="left" w:pos="4777"/>
        </w:tabs>
        <w:ind w:left="4677" w:hanging="1700"/>
      </w:pPr>
      <w:rPr>
        <w:rFonts w:hint="eastAsia"/>
      </w:rPr>
    </w:lvl>
  </w:abstractNum>
  <w:num w:numId="1" w16cid:durableId="938948302">
    <w:abstractNumId w:val="2"/>
  </w:num>
  <w:num w:numId="2" w16cid:durableId="1352104502">
    <w:abstractNumId w:val="0"/>
  </w:num>
  <w:num w:numId="3" w16cid:durableId="191111176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trackRevisions/>
  <w:defaultTabStop w:val="420"/>
  <w:noPunctuationKerning/>
  <w:characterSpacingControl w:val="doNotCompress"/>
  <w:hdrShapeDefaults>
    <o:shapedefaults v:ext="edit" spidmax="2050"/>
  </w:hdrShapeDefaults>
  <w:footnotePr>
    <w:footnote w:id="-1"/>
    <w:footnote w:id="0"/>
  </w:footnotePr>
  <w:endnotePr>
    <w:endnote w:id="-1"/>
    <w:endnote w:id="0"/>
  </w:endnotePr>
  <w:compat>
    <w:balanceSingleByteDoubleByteWidth/>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YWUyY2M3NmY3YjY0ZjdmYTlmMzFjOGIxYTFhN2JmNjAifQ=="/>
  </w:docVars>
  <w:rsids>
    <w:rsidRoot w:val="00E1368E"/>
    <w:rsid w:val="00025D05"/>
    <w:rsid w:val="00035D4A"/>
    <w:rsid w:val="00035FDB"/>
    <w:rsid w:val="00042A82"/>
    <w:rsid w:val="0005605C"/>
    <w:rsid w:val="00057F35"/>
    <w:rsid w:val="000A1EB3"/>
    <w:rsid w:val="000A43F6"/>
    <w:rsid w:val="000B6CB8"/>
    <w:rsid w:val="000C2FF2"/>
    <w:rsid w:val="000C74FD"/>
    <w:rsid w:val="000D1AD7"/>
    <w:rsid w:val="000D6B54"/>
    <w:rsid w:val="000E3A9F"/>
    <w:rsid w:val="00106FA0"/>
    <w:rsid w:val="00116EE9"/>
    <w:rsid w:val="00120A11"/>
    <w:rsid w:val="001271B5"/>
    <w:rsid w:val="00136A3B"/>
    <w:rsid w:val="00137394"/>
    <w:rsid w:val="00140673"/>
    <w:rsid w:val="00142B43"/>
    <w:rsid w:val="00156410"/>
    <w:rsid w:val="0016430D"/>
    <w:rsid w:val="00184208"/>
    <w:rsid w:val="00192E50"/>
    <w:rsid w:val="001A172F"/>
    <w:rsid w:val="001A5DF3"/>
    <w:rsid w:val="001A7832"/>
    <w:rsid w:val="001B4286"/>
    <w:rsid w:val="001C41B0"/>
    <w:rsid w:val="001E7DC3"/>
    <w:rsid w:val="00216817"/>
    <w:rsid w:val="00217355"/>
    <w:rsid w:val="0022257D"/>
    <w:rsid w:val="002247C0"/>
    <w:rsid w:val="002256B4"/>
    <w:rsid w:val="0024381B"/>
    <w:rsid w:val="00245D47"/>
    <w:rsid w:val="00251EF6"/>
    <w:rsid w:val="00252FE9"/>
    <w:rsid w:val="00253616"/>
    <w:rsid w:val="002602BC"/>
    <w:rsid w:val="00260747"/>
    <w:rsid w:val="002856E3"/>
    <w:rsid w:val="002875E2"/>
    <w:rsid w:val="00291322"/>
    <w:rsid w:val="002A03A9"/>
    <w:rsid w:val="002A357C"/>
    <w:rsid w:val="002D1BE6"/>
    <w:rsid w:val="002D3215"/>
    <w:rsid w:val="002D4AFE"/>
    <w:rsid w:val="002E3106"/>
    <w:rsid w:val="002E4497"/>
    <w:rsid w:val="002F1174"/>
    <w:rsid w:val="002F3970"/>
    <w:rsid w:val="00301109"/>
    <w:rsid w:val="00304D28"/>
    <w:rsid w:val="003267B5"/>
    <w:rsid w:val="00327645"/>
    <w:rsid w:val="00327EA2"/>
    <w:rsid w:val="003412E2"/>
    <w:rsid w:val="00351D24"/>
    <w:rsid w:val="003570B4"/>
    <w:rsid w:val="003860E4"/>
    <w:rsid w:val="003B1300"/>
    <w:rsid w:val="003B5F15"/>
    <w:rsid w:val="003C07F6"/>
    <w:rsid w:val="003C57C6"/>
    <w:rsid w:val="003D70FC"/>
    <w:rsid w:val="003E1B54"/>
    <w:rsid w:val="003F3A73"/>
    <w:rsid w:val="003F4FA5"/>
    <w:rsid w:val="003F5358"/>
    <w:rsid w:val="003F64C2"/>
    <w:rsid w:val="00400E2F"/>
    <w:rsid w:val="00407961"/>
    <w:rsid w:val="004107AE"/>
    <w:rsid w:val="00427242"/>
    <w:rsid w:val="004275DA"/>
    <w:rsid w:val="004306A8"/>
    <w:rsid w:val="004405CF"/>
    <w:rsid w:val="00446AD2"/>
    <w:rsid w:val="004502EF"/>
    <w:rsid w:val="00460CCB"/>
    <w:rsid w:val="004625D5"/>
    <w:rsid w:val="004775C2"/>
    <w:rsid w:val="0048647B"/>
    <w:rsid w:val="00490426"/>
    <w:rsid w:val="0049086B"/>
    <w:rsid w:val="0049364B"/>
    <w:rsid w:val="004A0F6B"/>
    <w:rsid w:val="004A2773"/>
    <w:rsid w:val="004A6A1D"/>
    <w:rsid w:val="004B27B9"/>
    <w:rsid w:val="004E0376"/>
    <w:rsid w:val="004E21BC"/>
    <w:rsid w:val="004F3B01"/>
    <w:rsid w:val="004F6D34"/>
    <w:rsid w:val="004F7AAB"/>
    <w:rsid w:val="00517325"/>
    <w:rsid w:val="00534256"/>
    <w:rsid w:val="005369CA"/>
    <w:rsid w:val="00565669"/>
    <w:rsid w:val="00567B1F"/>
    <w:rsid w:val="00580412"/>
    <w:rsid w:val="005963A9"/>
    <w:rsid w:val="005A3F4B"/>
    <w:rsid w:val="005C6EBC"/>
    <w:rsid w:val="005D288C"/>
    <w:rsid w:val="005D44ED"/>
    <w:rsid w:val="005E504F"/>
    <w:rsid w:val="005F548D"/>
    <w:rsid w:val="006012CB"/>
    <w:rsid w:val="00613162"/>
    <w:rsid w:val="00636589"/>
    <w:rsid w:val="006809AD"/>
    <w:rsid w:val="00687E35"/>
    <w:rsid w:val="006A0498"/>
    <w:rsid w:val="006B7047"/>
    <w:rsid w:val="006B7DA8"/>
    <w:rsid w:val="006C1ACE"/>
    <w:rsid w:val="006D7E55"/>
    <w:rsid w:val="006D7F7F"/>
    <w:rsid w:val="006E6246"/>
    <w:rsid w:val="00701BF4"/>
    <w:rsid w:val="0070565F"/>
    <w:rsid w:val="00722599"/>
    <w:rsid w:val="00727113"/>
    <w:rsid w:val="00745D5F"/>
    <w:rsid w:val="007A140A"/>
    <w:rsid w:val="007B027A"/>
    <w:rsid w:val="007C5826"/>
    <w:rsid w:val="007F1A7D"/>
    <w:rsid w:val="00805DAC"/>
    <w:rsid w:val="00835BA0"/>
    <w:rsid w:val="00836D96"/>
    <w:rsid w:val="008377EE"/>
    <w:rsid w:val="00837A51"/>
    <w:rsid w:val="0084219A"/>
    <w:rsid w:val="0086496E"/>
    <w:rsid w:val="008659E9"/>
    <w:rsid w:val="008777AE"/>
    <w:rsid w:val="008A0E74"/>
    <w:rsid w:val="008B435B"/>
    <w:rsid w:val="008D3D57"/>
    <w:rsid w:val="008E2E06"/>
    <w:rsid w:val="009021E6"/>
    <w:rsid w:val="009127D8"/>
    <w:rsid w:val="00923AA4"/>
    <w:rsid w:val="00947693"/>
    <w:rsid w:val="00951726"/>
    <w:rsid w:val="00956B2A"/>
    <w:rsid w:val="0097563B"/>
    <w:rsid w:val="00986310"/>
    <w:rsid w:val="009906C6"/>
    <w:rsid w:val="009955F6"/>
    <w:rsid w:val="009A0CAD"/>
    <w:rsid w:val="009A1025"/>
    <w:rsid w:val="009B4B2F"/>
    <w:rsid w:val="009D0C56"/>
    <w:rsid w:val="009D179B"/>
    <w:rsid w:val="009D35B2"/>
    <w:rsid w:val="009E2A60"/>
    <w:rsid w:val="009E2F35"/>
    <w:rsid w:val="009F2728"/>
    <w:rsid w:val="009F576B"/>
    <w:rsid w:val="00A149FA"/>
    <w:rsid w:val="00A23947"/>
    <w:rsid w:val="00A2664F"/>
    <w:rsid w:val="00A26D5D"/>
    <w:rsid w:val="00A3106F"/>
    <w:rsid w:val="00A3195A"/>
    <w:rsid w:val="00A369CB"/>
    <w:rsid w:val="00A402D9"/>
    <w:rsid w:val="00A75FD4"/>
    <w:rsid w:val="00A777A5"/>
    <w:rsid w:val="00A82AF3"/>
    <w:rsid w:val="00AB5848"/>
    <w:rsid w:val="00AC0892"/>
    <w:rsid w:val="00AC2B48"/>
    <w:rsid w:val="00AD6D34"/>
    <w:rsid w:val="00AE01C1"/>
    <w:rsid w:val="00AE5782"/>
    <w:rsid w:val="00AF03AF"/>
    <w:rsid w:val="00B02CB9"/>
    <w:rsid w:val="00B03F56"/>
    <w:rsid w:val="00B03F64"/>
    <w:rsid w:val="00B04673"/>
    <w:rsid w:val="00B0748E"/>
    <w:rsid w:val="00B1079B"/>
    <w:rsid w:val="00B16C4C"/>
    <w:rsid w:val="00B25F3D"/>
    <w:rsid w:val="00B505FC"/>
    <w:rsid w:val="00B55653"/>
    <w:rsid w:val="00B57090"/>
    <w:rsid w:val="00B61089"/>
    <w:rsid w:val="00B84ABE"/>
    <w:rsid w:val="00B96A3D"/>
    <w:rsid w:val="00BA115A"/>
    <w:rsid w:val="00BB2E3D"/>
    <w:rsid w:val="00BB58C5"/>
    <w:rsid w:val="00BD7FDC"/>
    <w:rsid w:val="00BE024D"/>
    <w:rsid w:val="00BE2E75"/>
    <w:rsid w:val="00BE776A"/>
    <w:rsid w:val="00BF020D"/>
    <w:rsid w:val="00BF6844"/>
    <w:rsid w:val="00C20D2B"/>
    <w:rsid w:val="00C426CA"/>
    <w:rsid w:val="00C45AD6"/>
    <w:rsid w:val="00C473BC"/>
    <w:rsid w:val="00C54277"/>
    <w:rsid w:val="00C57473"/>
    <w:rsid w:val="00C73947"/>
    <w:rsid w:val="00C76D43"/>
    <w:rsid w:val="00C824A7"/>
    <w:rsid w:val="00C86C4F"/>
    <w:rsid w:val="00C9003B"/>
    <w:rsid w:val="00C94827"/>
    <w:rsid w:val="00C95120"/>
    <w:rsid w:val="00CA5C81"/>
    <w:rsid w:val="00CB0286"/>
    <w:rsid w:val="00CB3E52"/>
    <w:rsid w:val="00CC212A"/>
    <w:rsid w:val="00CE02E8"/>
    <w:rsid w:val="00CF261C"/>
    <w:rsid w:val="00D05945"/>
    <w:rsid w:val="00D16DC5"/>
    <w:rsid w:val="00D17DFE"/>
    <w:rsid w:val="00D31C22"/>
    <w:rsid w:val="00D3297F"/>
    <w:rsid w:val="00D50458"/>
    <w:rsid w:val="00D5176E"/>
    <w:rsid w:val="00D60A9F"/>
    <w:rsid w:val="00D66C30"/>
    <w:rsid w:val="00D74EB3"/>
    <w:rsid w:val="00D82E37"/>
    <w:rsid w:val="00DA1757"/>
    <w:rsid w:val="00DA2216"/>
    <w:rsid w:val="00DB39D3"/>
    <w:rsid w:val="00DE40FC"/>
    <w:rsid w:val="00DF67F1"/>
    <w:rsid w:val="00E000AD"/>
    <w:rsid w:val="00E03562"/>
    <w:rsid w:val="00E06207"/>
    <w:rsid w:val="00E1368E"/>
    <w:rsid w:val="00E33C68"/>
    <w:rsid w:val="00E44945"/>
    <w:rsid w:val="00E45188"/>
    <w:rsid w:val="00E54B0A"/>
    <w:rsid w:val="00E57F32"/>
    <w:rsid w:val="00E606B5"/>
    <w:rsid w:val="00E6624A"/>
    <w:rsid w:val="00E66E0B"/>
    <w:rsid w:val="00E722B9"/>
    <w:rsid w:val="00E749CF"/>
    <w:rsid w:val="00E752F7"/>
    <w:rsid w:val="00E8168C"/>
    <w:rsid w:val="00E844D4"/>
    <w:rsid w:val="00E942DD"/>
    <w:rsid w:val="00EA3D7E"/>
    <w:rsid w:val="00EA454A"/>
    <w:rsid w:val="00EA5A65"/>
    <w:rsid w:val="00EB4EA3"/>
    <w:rsid w:val="00ED0BCC"/>
    <w:rsid w:val="00EE5C53"/>
    <w:rsid w:val="00F01083"/>
    <w:rsid w:val="00F334BC"/>
    <w:rsid w:val="00F33EFC"/>
    <w:rsid w:val="00F36737"/>
    <w:rsid w:val="00F36AAA"/>
    <w:rsid w:val="00F425D2"/>
    <w:rsid w:val="00F820D0"/>
    <w:rsid w:val="00F85BDB"/>
    <w:rsid w:val="00F91311"/>
    <w:rsid w:val="00F96BEE"/>
    <w:rsid w:val="00FA5425"/>
    <w:rsid w:val="00FB5228"/>
    <w:rsid w:val="00FB5A78"/>
    <w:rsid w:val="00FC7D47"/>
    <w:rsid w:val="00FD054F"/>
    <w:rsid w:val="00FF01A3"/>
    <w:rsid w:val="0138499C"/>
    <w:rsid w:val="01CC1A40"/>
    <w:rsid w:val="02430D59"/>
    <w:rsid w:val="046441B2"/>
    <w:rsid w:val="0560642D"/>
    <w:rsid w:val="056C5A14"/>
    <w:rsid w:val="060A65E2"/>
    <w:rsid w:val="069B354B"/>
    <w:rsid w:val="069C3169"/>
    <w:rsid w:val="06A04BBF"/>
    <w:rsid w:val="079E620F"/>
    <w:rsid w:val="07B55A77"/>
    <w:rsid w:val="07D662FC"/>
    <w:rsid w:val="083C3EF2"/>
    <w:rsid w:val="087868BB"/>
    <w:rsid w:val="08DD4E30"/>
    <w:rsid w:val="09716DA9"/>
    <w:rsid w:val="09963FFC"/>
    <w:rsid w:val="09FC1600"/>
    <w:rsid w:val="0B2A3CDE"/>
    <w:rsid w:val="0B4811D4"/>
    <w:rsid w:val="0C2777AA"/>
    <w:rsid w:val="0C55752D"/>
    <w:rsid w:val="0D9A0C44"/>
    <w:rsid w:val="0ECE329B"/>
    <w:rsid w:val="0F380441"/>
    <w:rsid w:val="0FEB0667"/>
    <w:rsid w:val="101E54D9"/>
    <w:rsid w:val="104C1525"/>
    <w:rsid w:val="11297E47"/>
    <w:rsid w:val="11B55BC5"/>
    <w:rsid w:val="11C31604"/>
    <w:rsid w:val="12994D62"/>
    <w:rsid w:val="1333625E"/>
    <w:rsid w:val="14F63FA2"/>
    <w:rsid w:val="1537321C"/>
    <w:rsid w:val="154072A8"/>
    <w:rsid w:val="15DB62A6"/>
    <w:rsid w:val="15DF3B37"/>
    <w:rsid w:val="15FF5C15"/>
    <w:rsid w:val="17737B98"/>
    <w:rsid w:val="18ED2402"/>
    <w:rsid w:val="19187277"/>
    <w:rsid w:val="19516B70"/>
    <w:rsid w:val="1983413E"/>
    <w:rsid w:val="19A00D26"/>
    <w:rsid w:val="1B3455E2"/>
    <w:rsid w:val="1BCA6B98"/>
    <w:rsid w:val="1C08111B"/>
    <w:rsid w:val="1CB82E95"/>
    <w:rsid w:val="1D3F3149"/>
    <w:rsid w:val="1DE108A2"/>
    <w:rsid w:val="1EEA6C43"/>
    <w:rsid w:val="1F3F2EA1"/>
    <w:rsid w:val="1FF825B9"/>
    <w:rsid w:val="20C81682"/>
    <w:rsid w:val="21717AB6"/>
    <w:rsid w:val="21D259FB"/>
    <w:rsid w:val="22771308"/>
    <w:rsid w:val="2302130E"/>
    <w:rsid w:val="24341F5D"/>
    <w:rsid w:val="244264BF"/>
    <w:rsid w:val="2472601F"/>
    <w:rsid w:val="24B60AEF"/>
    <w:rsid w:val="256A51F2"/>
    <w:rsid w:val="25993194"/>
    <w:rsid w:val="259F3D0B"/>
    <w:rsid w:val="25FD6643"/>
    <w:rsid w:val="260D24A3"/>
    <w:rsid w:val="27917147"/>
    <w:rsid w:val="28F93D9A"/>
    <w:rsid w:val="294206B6"/>
    <w:rsid w:val="29C20383"/>
    <w:rsid w:val="2A924D25"/>
    <w:rsid w:val="2AB71864"/>
    <w:rsid w:val="2B035969"/>
    <w:rsid w:val="2B556F5E"/>
    <w:rsid w:val="2CC53AB6"/>
    <w:rsid w:val="2CCF04B2"/>
    <w:rsid w:val="2CD60B6C"/>
    <w:rsid w:val="2E440A2C"/>
    <w:rsid w:val="2E754D1E"/>
    <w:rsid w:val="2EBA2A6C"/>
    <w:rsid w:val="2EDE2C2F"/>
    <w:rsid w:val="2F3A3BDD"/>
    <w:rsid w:val="2F673ED2"/>
    <w:rsid w:val="306B0709"/>
    <w:rsid w:val="309B4597"/>
    <w:rsid w:val="30C84BB8"/>
    <w:rsid w:val="31594282"/>
    <w:rsid w:val="31605B7D"/>
    <w:rsid w:val="31A45A83"/>
    <w:rsid w:val="31C12394"/>
    <w:rsid w:val="31C75126"/>
    <w:rsid w:val="31D64091"/>
    <w:rsid w:val="32090532"/>
    <w:rsid w:val="321C0E51"/>
    <w:rsid w:val="32C2756E"/>
    <w:rsid w:val="32F04CDF"/>
    <w:rsid w:val="3522008D"/>
    <w:rsid w:val="36527A5E"/>
    <w:rsid w:val="38D26357"/>
    <w:rsid w:val="3908045A"/>
    <w:rsid w:val="3A335D0B"/>
    <w:rsid w:val="3B1A42B0"/>
    <w:rsid w:val="3B3D2A8B"/>
    <w:rsid w:val="3C355FBE"/>
    <w:rsid w:val="3C53769C"/>
    <w:rsid w:val="3C9012E0"/>
    <w:rsid w:val="3CD92C87"/>
    <w:rsid w:val="3CFA0EDB"/>
    <w:rsid w:val="3D6B7E90"/>
    <w:rsid w:val="3D9A2844"/>
    <w:rsid w:val="3DB81767"/>
    <w:rsid w:val="3DC61AA5"/>
    <w:rsid w:val="3F2E4E8A"/>
    <w:rsid w:val="3F4F340E"/>
    <w:rsid w:val="3FA56D1A"/>
    <w:rsid w:val="3FF31966"/>
    <w:rsid w:val="40414DCB"/>
    <w:rsid w:val="42482502"/>
    <w:rsid w:val="424F3F3D"/>
    <w:rsid w:val="42D71389"/>
    <w:rsid w:val="43053809"/>
    <w:rsid w:val="434F2A37"/>
    <w:rsid w:val="43D27B8A"/>
    <w:rsid w:val="442C492F"/>
    <w:rsid w:val="444E7AB7"/>
    <w:rsid w:val="44583D18"/>
    <w:rsid w:val="44BA442D"/>
    <w:rsid w:val="45062140"/>
    <w:rsid w:val="45264590"/>
    <w:rsid w:val="459D739F"/>
    <w:rsid w:val="467073EF"/>
    <w:rsid w:val="47027644"/>
    <w:rsid w:val="480C2A26"/>
    <w:rsid w:val="48211BF5"/>
    <w:rsid w:val="494F67AB"/>
    <w:rsid w:val="4A0F35C1"/>
    <w:rsid w:val="4A58168F"/>
    <w:rsid w:val="4A705A43"/>
    <w:rsid w:val="4AD827D0"/>
    <w:rsid w:val="4BAF5095"/>
    <w:rsid w:val="4C58213A"/>
    <w:rsid w:val="4CBA5E10"/>
    <w:rsid w:val="4D6C63CA"/>
    <w:rsid w:val="4D7C0A21"/>
    <w:rsid w:val="4E402B66"/>
    <w:rsid w:val="4E83363A"/>
    <w:rsid w:val="4EF609BE"/>
    <w:rsid w:val="4F432AD0"/>
    <w:rsid w:val="4F4E4E0F"/>
    <w:rsid w:val="4F543B85"/>
    <w:rsid w:val="4F9B0875"/>
    <w:rsid w:val="5161702D"/>
    <w:rsid w:val="517F375D"/>
    <w:rsid w:val="52D95337"/>
    <w:rsid w:val="52DF7C7F"/>
    <w:rsid w:val="53156BAF"/>
    <w:rsid w:val="53847799"/>
    <w:rsid w:val="53F73EEB"/>
    <w:rsid w:val="54A106F7"/>
    <w:rsid w:val="550A5C7C"/>
    <w:rsid w:val="55875A48"/>
    <w:rsid w:val="56D831F7"/>
    <w:rsid w:val="57A657E1"/>
    <w:rsid w:val="59036432"/>
    <w:rsid w:val="5AC129BE"/>
    <w:rsid w:val="5ADF7263"/>
    <w:rsid w:val="5BD35139"/>
    <w:rsid w:val="5C5C6A15"/>
    <w:rsid w:val="5CE55F69"/>
    <w:rsid w:val="5D121B72"/>
    <w:rsid w:val="5D245AF4"/>
    <w:rsid w:val="5D573D1E"/>
    <w:rsid w:val="5E2B0DDA"/>
    <w:rsid w:val="5E367DB4"/>
    <w:rsid w:val="5EAF287D"/>
    <w:rsid w:val="5ED00EC3"/>
    <w:rsid w:val="5FEF558B"/>
    <w:rsid w:val="60A828C6"/>
    <w:rsid w:val="60F66ED2"/>
    <w:rsid w:val="61F95993"/>
    <w:rsid w:val="62E6619C"/>
    <w:rsid w:val="62EF3C7E"/>
    <w:rsid w:val="6329529D"/>
    <w:rsid w:val="63655D37"/>
    <w:rsid w:val="63C74D38"/>
    <w:rsid w:val="63FF5EC4"/>
    <w:rsid w:val="649F1631"/>
    <w:rsid w:val="64D42CB9"/>
    <w:rsid w:val="64FE29DC"/>
    <w:rsid w:val="6530163A"/>
    <w:rsid w:val="664A7DF4"/>
    <w:rsid w:val="666A3D48"/>
    <w:rsid w:val="667F18FA"/>
    <w:rsid w:val="66D96E19"/>
    <w:rsid w:val="67220C03"/>
    <w:rsid w:val="687508F7"/>
    <w:rsid w:val="68850F47"/>
    <w:rsid w:val="696A0640"/>
    <w:rsid w:val="6B560205"/>
    <w:rsid w:val="6C076680"/>
    <w:rsid w:val="6C517FC1"/>
    <w:rsid w:val="6C7A28E2"/>
    <w:rsid w:val="6CC30793"/>
    <w:rsid w:val="6F4013C2"/>
    <w:rsid w:val="6F631D08"/>
    <w:rsid w:val="6F912DCA"/>
    <w:rsid w:val="70DA4144"/>
    <w:rsid w:val="70E679F2"/>
    <w:rsid w:val="717D63F7"/>
    <w:rsid w:val="71836742"/>
    <w:rsid w:val="718B55F7"/>
    <w:rsid w:val="71AA255D"/>
    <w:rsid w:val="71EB39A1"/>
    <w:rsid w:val="721A4677"/>
    <w:rsid w:val="724C5EE3"/>
    <w:rsid w:val="72555F92"/>
    <w:rsid w:val="7258197D"/>
    <w:rsid w:val="726D7C7F"/>
    <w:rsid w:val="732857F3"/>
    <w:rsid w:val="742257EB"/>
    <w:rsid w:val="746D6559"/>
    <w:rsid w:val="74FB3D16"/>
    <w:rsid w:val="76946CFC"/>
    <w:rsid w:val="76C40651"/>
    <w:rsid w:val="7813315F"/>
    <w:rsid w:val="7855070D"/>
    <w:rsid w:val="78927D0A"/>
    <w:rsid w:val="793D183F"/>
    <w:rsid w:val="7A236D15"/>
    <w:rsid w:val="7A8E4BA7"/>
    <w:rsid w:val="7AD93877"/>
    <w:rsid w:val="7AFD3F9A"/>
    <w:rsid w:val="7B467A1B"/>
    <w:rsid w:val="7B6E2211"/>
    <w:rsid w:val="7B7B511B"/>
    <w:rsid w:val="7C741A4B"/>
    <w:rsid w:val="7CA659DB"/>
    <w:rsid w:val="7CEC4587"/>
    <w:rsid w:val="7D79532E"/>
    <w:rsid w:val="7DC21D9D"/>
    <w:rsid w:val="7DC76EE5"/>
    <w:rsid w:val="7F262533"/>
    <w:rsid w:val="7F8A2BE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02F26CF"/>
  <w15:docId w15:val="{BAA20B82-2441-4DC3-880F-5A52C752D4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qFormat="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5">
    <w:name w:val="Normal"/>
    <w:autoRedefine/>
    <w:qFormat/>
    <w:pPr>
      <w:widowControl w:val="0"/>
      <w:spacing w:line="360" w:lineRule="auto"/>
      <w:ind w:firstLineChars="200" w:firstLine="640"/>
      <w:jc w:val="both"/>
    </w:pPr>
    <w:rPr>
      <w:rFonts w:eastAsia="仿宋"/>
      <w:kern w:val="2"/>
      <w:sz w:val="32"/>
      <w:szCs w:val="32"/>
      <w14:ligatures w14:val="standardContextual"/>
    </w:rPr>
  </w:style>
  <w:style w:type="paragraph" w:styleId="1">
    <w:name w:val="heading 1"/>
    <w:basedOn w:val="a5"/>
    <w:next w:val="a5"/>
    <w:qFormat/>
    <w:pPr>
      <w:keepNext/>
      <w:keepLines/>
      <w:spacing w:before="240" w:after="240" w:line="480" w:lineRule="auto"/>
      <w:outlineLvl w:val="0"/>
    </w:pPr>
    <w:rPr>
      <w:b/>
      <w:bCs/>
      <w:kern w:val="44"/>
      <w:szCs w:val="44"/>
    </w:rPr>
  </w:style>
  <w:style w:type="paragraph" w:styleId="2">
    <w:name w:val="heading 2"/>
    <w:basedOn w:val="a5"/>
    <w:next w:val="a5"/>
    <w:link w:val="20"/>
    <w:autoRedefine/>
    <w:uiPriority w:val="9"/>
    <w:unhideWhenUsed/>
    <w:qFormat/>
    <w:pPr>
      <w:keepNext/>
      <w:keepLines/>
      <w:adjustRightInd w:val="0"/>
      <w:snapToGrid w:val="0"/>
      <w:ind w:firstLine="643"/>
      <w:outlineLvl w:val="1"/>
    </w:pPr>
    <w:rPr>
      <w:rFonts w:ascii="宋体" w:eastAsia="宋体" w:hAnsi="宋体" w:cstheme="majorBidi"/>
      <w:b/>
      <w:bCs/>
    </w:rPr>
  </w:style>
  <w:style w:type="paragraph" w:styleId="3">
    <w:name w:val="heading 3"/>
    <w:basedOn w:val="a5"/>
    <w:next w:val="a5"/>
    <w:link w:val="30"/>
    <w:autoRedefine/>
    <w:uiPriority w:val="9"/>
    <w:semiHidden/>
    <w:unhideWhenUsed/>
    <w:qFormat/>
    <w:pPr>
      <w:keepNext/>
      <w:keepLines/>
      <w:spacing w:before="260" w:after="260" w:line="416" w:lineRule="auto"/>
      <w:outlineLvl w:val="2"/>
    </w:pPr>
    <w:rPr>
      <w:b/>
      <w:bCs/>
    </w:rPr>
  </w:style>
  <w:style w:type="paragraph" w:styleId="4">
    <w:name w:val="heading 4"/>
    <w:basedOn w:val="a5"/>
    <w:next w:val="a5"/>
    <w:link w:val="40"/>
    <w:autoRedefine/>
    <w:uiPriority w:val="9"/>
    <w:semiHidden/>
    <w:unhideWhenUsed/>
    <w:qFormat/>
    <w:pPr>
      <w:keepNext/>
      <w:keepLines/>
      <w:spacing w:before="280" w:after="290" w:line="376" w:lineRule="auto"/>
      <w:outlineLvl w:val="3"/>
    </w:pPr>
    <w:rPr>
      <w:rFonts w:asciiTheme="majorHAnsi" w:eastAsiaTheme="majorEastAsia" w:hAnsiTheme="majorHAnsi" w:cstheme="majorBidi"/>
      <w:b/>
      <w:bCs/>
      <w:sz w:val="28"/>
      <w:szCs w:val="28"/>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table of authorities"/>
    <w:basedOn w:val="a5"/>
    <w:next w:val="a5"/>
    <w:autoRedefine/>
    <w:uiPriority w:val="99"/>
    <w:semiHidden/>
    <w:unhideWhenUsed/>
    <w:qFormat/>
    <w:pPr>
      <w:ind w:leftChars="200" w:left="420"/>
    </w:pPr>
  </w:style>
  <w:style w:type="paragraph" w:styleId="aa">
    <w:name w:val="annotation text"/>
    <w:basedOn w:val="a5"/>
    <w:link w:val="ab"/>
    <w:autoRedefine/>
    <w:uiPriority w:val="99"/>
    <w:semiHidden/>
    <w:unhideWhenUsed/>
    <w:qFormat/>
    <w:pPr>
      <w:jc w:val="left"/>
    </w:pPr>
  </w:style>
  <w:style w:type="paragraph" w:styleId="ac">
    <w:name w:val="Date"/>
    <w:basedOn w:val="a5"/>
    <w:next w:val="a5"/>
    <w:link w:val="ad"/>
    <w:uiPriority w:val="99"/>
    <w:semiHidden/>
    <w:unhideWhenUsed/>
    <w:qFormat/>
    <w:pPr>
      <w:ind w:leftChars="2500" w:left="100"/>
    </w:pPr>
  </w:style>
  <w:style w:type="paragraph" w:styleId="ae">
    <w:name w:val="footer"/>
    <w:basedOn w:val="a5"/>
    <w:link w:val="af"/>
    <w:autoRedefine/>
    <w:uiPriority w:val="99"/>
    <w:unhideWhenUsed/>
    <w:qFormat/>
    <w:pPr>
      <w:tabs>
        <w:tab w:val="center" w:pos="4153"/>
        <w:tab w:val="right" w:pos="8306"/>
      </w:tabs>
      <w:snapToGrid w:val="0"/>
      <w:jc w:val="left"/>
    </w:pPr>
    <w:rPr>
      <w:sz w:val="18"/>
      <w:szCs w:val="18"/>
    </w:rPr>
  </w:style>
  <w:style w:type="paragraph" w:styleId="af0">
    <w:name w:val="header"/>
    <w:basedOn w:val="a5"/>
    <w:link w:val="af1"/>
    <w:autoRedefine/>
    <w:uiPriority w:val="99"/>
    <w:unhideWhenUsed/>
    <w:qFormat/>
    <w:pPr>
      <w:pBdr>
        <w:bottom w:val="single" w:sz="6" w:space="1" w:color="auto"/>
      </w:pBdr>
      <w:tabs>
        <w:tab w:val="center" w:pos="4153"/>
        <w:tab w:val="right" w:pos="8306"/>
      </w:tabs>
      <w:snapToGrid w:val="0"/>
      <w:jc w:val="center"/>
    </w:pPr>
    <w:rPr>
      <w:sz w:val="18"/>
      <w:szCs w:val="18"/>
    </w:rPr>
  </w:style>
  <w:style w:type="paragraph" w:styleId="TOC1">
    <w:name w:val="toc 1"/>
    <w:basedOn w:val="a5"/>
    <w:next w:val="a5"/>
    <w:uiPriority w:val="39"/>
    <w:unhideWhenUsed/>
    <w:qFormat/>
  </w:style>
  <w:style w:type="paragraph" w:styleId="af2">
    <w:name w:val="footnote text"/>
    <w:basedOn w:val="a5"/>
    <w:uiPriority w:val="99"/>
    <w:semiHidden/>
    <w:unhideWhenUsed/>
    <w:qFormat/>
    <w:pPr>
      <w:snapToGrid w:val="0"/>
      <w:jc w:val="left"/>
    </w:pPr>
    <w:rPr>
      <w:sz w:val="18"/>
      <w:szCs w:val="18"/>
    </w:rPr>
  </w:style>
  <w:style w:type="paragraph" w:styleId="TOC2">
    <w:name w:val="toc 2"/>
    <w:basedOn w:val="a5"/>
    <w:next w:val="a5"/>
    <w:uiPriority w:val="39"/>
    <w:unhideWhenUsed/>
    <w:qFormat/>
    <w:pPr>
      <w:ind w:leftChars="200" w:left="420"/>
    </w:pPr>
  </w:style>
  <w:style w:type="paragraph" w:styleId="af3">
    <w:name w:val="Normal (Web)"/>
    <w:basedOn w:val="a5"/>
    <w:qFormat/>
    <w:pPr>
      <w:widowControl/>
      <w:spacing w:before="100" w:beforeAutospacing="1" w:after="100" w:afterAutospacing="1"/>
      <w:jc w:val="left"/>
    </w:pPr>
    <w:rPr>
      <w:rFonts w:ascii="宋体" w:hAnsi="宋体"/>
      <w:kern w:val="0"/>
      <w:sz w:val="24"/>
    </w:rPr>
  </w:style>
  <w:style w:type="paragraph" w:styleId="af4">
    <w:name w:val="annotation subject"/>
    <w:basedOn w:val="aa"/>
    <w:next w:val="aa"/>
    <w:link w:val="af5"/>
    <w:autoRedefine/>
    <w:uiPriority w:val="99"/>
    <w:semiHidden/>
    <w:unhideWhenUsed/>
    <w:qFormat/>
    <w:rPr>
      <w:b/>
      <w:bCs/>
    </w:rPr>
  </w:style>
  <w:style w:type="table" w:styleId="af6">
    <w:name w:val="Table Grid"/>
    <w:basedOn w:val="a7"/>
    <w:autoRedefine/>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Strong"/>
    <w:basedOn w:val="a6"/>
    <w:uiPriority w:val="22"/>
    <w:qFormat/>
    <w:rPr>
      <w:b/>
    </w:rPr>
  </w:style>
  <w:style w:type="character" w:styleId="af8">
    <w:name w:val="page number"/>
    <w:basedOn w:val="a6"/>
    <w:autoRedefine/>
    <w:qFormat/>
    <w:rPr>
      <w:rFonts w:ascii="Calibri" w:eastAsia="Times New Roman" w:hAnsi="Calibri" w:cs="Times New Roman"/>
      <w:sz w:val="21"/>
      <w:szCs w:val="18"/>
    </w:rPr>
  </w:style>
  <w:style w:type="character" w:styleId="af9">
    <w:name w:val="Hyperlink"/>
    <w:basedOn w:val="a6"/>
    <w:autoRedefine/>
    <w:uiPriority w:val="99"/>
    <w:unhideWhenUsed/>
    <w:qFormat/>
    <w:rPr>
      <w:color w:val="0000FF"/>
      <w:u w:val="single"/>
    </w:rPr>
  </w:style>
  <w:style w:type="character" w:styleId="afa">
    <w:name w:val="annotation reference"/>
    <w:basedOn w:val="a6"/>
    <w:autoRedefine/>
    <w:uiPriority w:val="99"/>
    <w:semiHidden/>
    <w:unhideWhenUsed/>
    <w:qFormat/>
    <w:rPr>
      <w:sz w:val="21"/>
      <w:szCs w:val="21"/>
    </w:rPr>
  </w:style>
  <w:style w:type="character" w:styleId="afb">
    <w:name w:val="footnote reference"/>
    <w:basedOn w:val="a6"/>
    <w:uiPriority w:val="99"/>
    <w:semiHidden/>
    <w:unhideWhenUsed/>
    <w:qFormat/>
    <w:rPr>
      <w:vertAlign w:val="superscript"/>
    </w:rPr>
  </w:style>
  <w:style w:type="paragraph" w:customStyle="1" w:styleId="afc">
    <w:name w:val="报告正文"/>
    <w:link w:val="Char"/>
    <w:autoRedefine/>
    <w:qFormat/>
    <w:pPr>
      <w:widowControl w:val="0"/>
      <w:spacing w:line="360" w:lineRule="auto"/>
      <w:ind w:firstLineChars="200" w:firstLine="200"/>
      <w:jc w:val="both"/>
    </w:pPr>
    <w:rPr>
      <w:rFonts w:ascii="宋体" w:eastAsia="仿宋" w:hAnsi="宋体" w:cstheme="minorBidi"/>
      <w:bCs/>
      <w:kern w:val="44"/>
      <w:sz w:val="28"/>
      <w:szCs w:val="44"/>
      <w14:ligatures w14:val="standardContextual"/>
    </w:rPr>
  </w:style>
  <w:style w:type="character" w:customStyle="1" w:styleId="Char">
    <w:name w:val="报告正文 Char"/>
    <w:link w:val="afc"/>
    <w:qFormat/>
    <w:locked/>
    <w:rPr>
      <w:rFonts w:ascii="宋体" w:eastAsia="仿宋" w:hAnsi="宋体"/>
      <w:bCs/>
      <w:kern w:val="44"/>
      <w:sz w:val="28"/>
      <w:szCs w:val="44"/>
    </w:rPr>
  </w:style>
  <w:style w:type="paragraph" w:customStyle="1" w:styleId="afd">
    <w:name w:val="表格内"/>
    <w:basedOn w:val="a5"/>
    <w:link w:val="afe"/>
    <w:autoRedefine/>
    <w:qFormat/>
    <w:pPr>
      <w:widowControl/>
      <w:adjustRightInd w:val="0"/>
      <w:contextualSpacing/>
      <w:jc w:val="left"/>
    </w:pPr>
    <w:rPr>
      <w:rFonts w:eastAsia="楷体"/>
      <w:sz w:val="24"/>
      <w:szCs w:val="28"/>
    </w:rPr>
  </w:style>
  <w:style w:type="character" w:customStyle="1" w:styleId="afe">
    <w:name w:val="表格内 字符"/>
    <w:basedOn w:val="a6"/>
    <w:link w:val="afd"/>
    <w:autoRedefine/>
    <w:qFormat/>
    <w:rPr>
      <w:rFonts w:eastAsia="楷体"/>
      <w:sz w:val="24"/>
      <w:szCs w:val="28"/>
    </w:rPr>
  </w:style>
  <w:style w:type="paragraph" w:customStyle="1" w:styleId="31">
    <w:name w:val="报告标题3"/>
    <w:basedOn w:val="3"/>
    <w:link w:val="32"/>
    <w:autoRedefine/>
    <w:qFormat/>
    <w:pPr>
      <w:widowControl/>
      <w:spacing w:before="0" w:after="0" w:line="360" w:lineRule="auto"/>
      <w:ind w:firstLine="200"/>
      <w:jc w:val="left"/>
    </w:pPr>
    <w:rPr>
      <w:rFonts w:ascii="Calibri" w:hAnsi="Calibri"/>
      <w:b w:val="0"/>
      <w:color w:val="000000"/>
      <w:sz w:val="28"/>
    </w:rPr>
  </w:style>
  <w:style w:type="character" w:customStyle="1" w:styleId="32">
    <w:name w:val="报告标题3 字符"/>
    <w:basedOn w:val="a6"/>
    <w:link w:val="31"/>
    <w:autoRedefine/>
    <w:qFormat/>
    <w:rPr>
      <w:rFonts w:ascii="Calibri" w:hAnsi="Calibri"/>
      <w:bCs/>
      <w:color w:val="000000"/>
      <w:sz w:val="28"/>
      <w:szCs w:val="32"/>
    </w:rPr>
  </w:style>
  <w:style w:type="character" w:customStyle="1" w:styleId="30">
    <w:name w:val="标题 3 字符"/>
    <w:basedOn w:val="a6"/>
    <w:link w:val="3"/>
    <w:autoRedefine/>
    <w:uiPriority w:val="9"/>
    <w:semiHidden/>
    <w:qFormat/>
    <w:rPr>
      <w:b/>
      <w:bCs/>
      <w:sz w:val="32"/>
      <w:szCs w:val="32"/>
    </w:rPr>
  </w:style>
  <w:style w:type="paragraph" w:customStyle="1" w:styleId="41">
    <w:name w:val="标题4"/>
    <w:basedOn w:val="4"/>
    <w:link w:val="42"/>
    <w:autoRedefine/>
    <w:qFormat/>
    <w:pPr>
      <w:widowControl/>
      <w:jc w:val="left"/>
    </w:pPr>
    <w:rPr>
      <w:rFonts w:ascii="Cambria" w:eastAsia="仿宋" w:hAnsi="Cambria" w:cs="Times New Roman"/>
      <w:color w:val="000000"/>
    </w:rPr>
  </w:style>
  <w:style w:type="character" w:customStyle="1" w:styleId="42">
    <w:name w:val="标题4 字符"/>
    <w:basedOn w:val="a6"/>
    <w:link w:val="41"/>
    <w:autoRedefine/>
    <w:qFormat/>
    <w:rPr>
      <w:rFonts w:ascii="Cambria" w:eastAsia="仿宋" w:hAnsi="Cambria" w:cs="Times New Roman"/>
      <w:b/>
      <w:bCs/>
      <w:color w:val="000000"/>
      <w:sz w:val="28"/>
      <w:szCs w:val="28"/>
    </w:rPr>
  </w:style>
  <w:style w:type="character" w:customStyle="1" w:styleId="40">
    <w:name w:val="标题 4 字符"/>
    <w:basedOn w:val="a6"/>
    <w:link w:val="4"/>
    <w:autoRedefine/>
    <w:uiPriority w:val="9"/>
    <w:semiHidden/>
    <w:qFormat/>
    <w:rPr>
      <w:rFonts w:asciiTheme="majorHAnsi" w:eastAsiaTheme="majorEastAsia" w:hAnsiTheme="majorHAnsi" w:cstheme="majorBidi"/>
      <w:b/>
      <w:bCs/>
      <w:sz w:val="28"/>
      <w:szCs w:val="28"/>
    </w:rPr>
  </w:style>
  <w:style w:type="paragraph" w:customStyle="1" w:styleId="aff">
    <w:name w:val="图标题"/>
    <w:basedOn w:val="a5"/>
    <w:next w:val="a5"/>
    <w:link w:val="aff0"/>
    <w:autoRedefine/>
    <w:qFormat/>
    <w:pPr>
      <w:widowControl/>
      <w:snapToGrid w:val="0"/>
      <w:jc w:val="center"/>
    </w:pPr>
    <w:rPr>
      <w:rFonts w:eastAsia="楷体"/>
      <w:sz w:val="18"/>
    </w:rPr>
  </w:style>
  <w:style w:type="character" w:customStyle="1" w:styleId="aff0">
    <w:name w:val="图标题 字符"/>
    <w:basedOn w:val="a6"/>
    <w:link w:val="aff"/>
    <w:autoRedefine/>
    <w:qFormat/>
    <w:rPr>
      <w:rFonts w:eastAsia="楷体"/>
      <w:sz w:val="18"/>
    </w:rPr>
  </w:style>
  <w:style w:type="paragraph" w:customStyle="1" w:styleId="10">
    <w:name w:val="目录1"/>
    <w:basedOn w:val="afc"/>
    <w:link w:val="11"/>
    <w:autoRedefine/>
    <w:qFormat/>
    <w:pPr>
      <w:ind w:firstLineChars="0" w:firstLine="0"/>
    </w:pPr>
    <w:rPr>
      <w:sz w:val="24"/>
    </w:rPr>
  </w:style>
  <w:style w:type="character" w:customStyle="1" w:styleId="11">
    <w:name w:val="目录1 字符"/>
    <w:basedOn w:val="Char"/>
    <w:link w:val="10"/>
    <w:autoRedefine/>
    <w:qFormat/>
    <w:rPr>
      <w:rFonts w:ascii="宋体" w:eastAsia="仿宋" w:hAnsi="宋体"/>
      <w:bCs/>
      <w:kern w:val="44"/>
      <w:sz w:val="24"/>
      <w:szCs w:val="44"/>
    </w:rPr>
  </w:style>
  <w:style w:type="paragraph" w:customStyle="1" w:styleId="aff1">
    <w:name w:val="目录"/>
    <w:basedOn w:val="a9"/>
    <w:link w:val="aff2"/>
    <w:autoRedefine/>
    <w:qFormat/>
    <w:pPr>
      <w:ind w:left="200"/>
    </w:pPr>
    <w:rPr>
      <w:sz w:val="24"/>
    </w:rPr>
  </w:style>
  <w:style w:type="character" w:customStyle="1" w:styleId="aff2">
    <w:name w:val="目录 字符"/>
    <w:basedOn w:val="a6"/>
    <w:link w:val="aff1"/>
    <w:autoRedefine/>
    <w:qFormat/>
    <w:rPr>
      <w:rFonts w:eastAsia="宋体"/>
      <w:sz w:val="24"/>
    </w:rPr>
  </w:style>
  <w:style w:type="character" w:customStyle="1" w:styleId="20">
    <w:name w:val="标题 2 字符"/>
    <w:basedOn w:val="a6"/>
    <w:link w:val="2"/>
    <w:autoRedefine/>
    <w:uiPriority w:val="9"/>
    <w:qFormat/>
    <w:rPr>
      <w:rFonts w:ascii="宋体" w:hAnsi="宋体" w:cstheme="majorBidi"/>
      <w:b/>
      <w:bCs/>
      <w:kern w:val="2"/>
      <w:sz w:val="32"/>
      <w:szCs w:val="32"/>
      <w14:ligatures w14:val="standardContextual"/>
    </w:rPr>
  </w:style>
  <w:style w:type="character" w:customStyle="1" w:styleId="fontstyle01">
    <w:name w:val="fontstyle01"/>
    <w:basedOn w:val="a6"/>
    <w:autoRedefine/>
    <w:qFormat/>
    <w:rPr>
      <w:rFonts w:ascii="宋体" w:eastAsia="宋体" w:hAnsi="宋体" w:cs="Times New Roman" w:hint="eastAsia"/>
      <w:color w:val="000000"/>
      <w:sz w:val="20"/>
      <w:szCs w:val="20"/>
    </w:rPr>
  </w:style>
  <w:style w:type="paragraph" w:customStyle="1" w:styleId="12">
    <w:name w:val="修订1"/>
    <w:autoRedefine/>
    <w:hidden/>
    <w:uiPriority w:val="99"/>
    <w:semiHidden/>
    <w:qFormat/>
    <w:rPr>
      <w:kern w:val="2"/>
      <w:sz w:val="21"/>
      <w:szCs w:val="24"/>
      <w14:ligatures w14:val="standardContextual"/>
    </w:rPr>
  </w:style>
  <w:style w:type="character" w:customStyle="1" w:styleId="13">
    <w:name w:val="未处理的提及1"/>
    <w:basedOn w:val="a6"/>
    <w:autoRedefine/>
    <w:uiPriority w:val="99"/>
    <w:semiHidden/>
    <w:unhideWhenUsed/>
    <w:qFormat/>
    <w:rPr>
      <w:color w:val="605E5C"/>
      <w:shd w:val="clear" w:color="auto" w:fill="E1DFDD"/>
    </w:rPr>
  </w:style>
  <w:style w:type="paragraph" w:customStyle="1" w:styleId="aff3">
    <w:name w:val="标准文件_段"/>
    <w:link w:val="Char0"/>
    <w:autoRedefine/>
    <w:qFormat/>
    <w:pPr>
      <w:autoSpaceDE w:val="0"/>
      <w:autoSpaceDN w:val="0"/>
      <w:ind w:firstLineChars="200" w:firstLine="200"/>
      <w:jc w:val="both"/>
    </w:pPr>
    <w:rPr>
      <w:rFonts w:ascii="宋体"/>
      <w:sz w:val="21"/>
    </w:rPr>
  </w:style>
  <w:style w:type="character" w:customStyle="1" w:styleId="Char0">
    <w:name w:val="标准文件_段 Char"/>
    <w:link w:val="aff3"/>
    <w:autoRedefine/>
    <w:qFormat/>
    <w:rPr>
      <w:rFonts w:ascii="宋体" w:eastAsia="宋体" w:hAnsi="Times New Roman" w:cs="Times New Roman"/>
      <w:kern w:val="0"/>
      <w:szCs w:val="20"/>
      <w14:ligatures w14:val="none"/>
    </w:rPr>
  </w:style>
  <w:style w:type="character" w:customStyle="1" w:styleId="af1">
    <w:name w:val="页眉 字符"/>
    <w:basedOn w:val="a6"/>
    <w:link w:val="af0"/>
    <w:autoRedefine/>
    <w:uiPriority w:val="99"/>
    <w:qFormat/>
    <w:rPr>
      <w:rFonts w:ascii="Times New Roman" w:eastAsia="宋体" w:hAnsi="Times New Roman" w:cs="Times New Roman"/>
      <w:sz w:val="18"/>
      <w:szCs w:val="18"/>
    </w:rPr>
  </w:style>
  <w:style w:type="character" w:customStyle="1" w:styleId="af">
    <w:name w:val="页脚 字符"/>
    <w:basedOn w:val="a6"/>
    <w:link w:val="ae"/>
    <w:autoRedefine/>
    <w:uiPriority w:val="99"/>
    <w:qFormat/>
    <w:rPr>
      <w:rFonts w:ascii="Times New Roman" w:eastAsia="宋体" w:hAnsi="Times New Roman" w:cs="Times New Roman"/>
      <w:sz w:val="18"/>
      <w:szCs w:val="18"/>
    </w:rPr>
  </w:style>
  <w:style w:type="paragraph" w:styleId="aff4">
    <w:name w:val="List Paragraph"/>
    <w:basedOn w:val="a5"/>
    <w:autoRedefine/>
    <w:uiPriority w:val="34"/>
    <w:qFormat/>
    <w:pPr>
      <w:ind w:firstLine="420"/>
    </w:pPr>
  </w:style>
  <w:style w:type="character" w:customStyle="1" w:styleId="ab">
    <w:name w:val="批注文字 字符"/>
    <w:basedOn w:val="a6"/>
    <w:link w:val="aa"/>
    <w:autoRedefine/>
    <w:uiPriority w:val="99"/>
    <w:semiHidden/>
    <w:qFormat/>
    <w:rPr>
      <w:rFonts w:ascii="Times New Roman" w:eastAsia="宋体" w:hAnsi="Times New Roman" w:cs="Times New Roman"/>
      <w:kern w:val="2"/>
      <w:sz w:val="21"/>
      <w:szCs w:val="24"/>
      <w14:ligatures w14:val="standardContextual"/>
    </w:rPr>
  </w:style>
  <w:style w:type="character" w:customStyle="1" w:styleId="af5">
    <w:name w:val="批注主题 字符"/>
    <w:basedOn w:val="ab"/>
    <w:link w:val="af4"/>
    <w:autoRedefine/>
    <w:uiPriority w:val="99"/>
    <w:semiHidden/>
    <w:qFormat/>
    <w:rPr>
      <w:rFonts w:ascii="Times New Roman" w:eastAsia="宋体" w:hAnsi="Times New Roman" w:cs="Times New Roman"/>
      <w:b/>
      <w:bCs/>
      <w:kern w:val="2"/>
      <w:sz w:val="21"/>
      <w:szCs w:val="24"/>
      <w14:ligatures w14:val="standardContextual"/>
    </w:rPr>
  </w:style>
  <w:style w:type="character" w:customStyle="1" w:styleId="textjayku">
    <w:name w:val="text_jayku"/>
    <w:basedOn w:val="a6"/>
    <w:autoRedefine/>
    <w:qFormat/>
  </w:style>
  <w:style w:type="paragraph" w:customStyle="1" w:styleId="21">
    <w:name w:val="修订2"/>
    <w:autoRedefine/>
    <w:hidden/>
    <w:uiPriority w:val="99"/>
    <w:semiHidden/>
    <w:qFormat/>
    <w:rPr>
      <w:kern w:val="2"/>
      <w:sz w:val="21"/>
      <w:szCs w:val="24"/>
      <w14:ligatures w14:val="standardContextual"/>
    </w:rPr>
  </w:style>
  <w:style w:type="paragraph" w:customStyle="1" w:styleId="a4">
    <w:name w:val="标准文件_二级条标题"/>
    <w:next w:val="aff3"/>
    <w:qFormat/>
    <w:pPr>
      <w:widowControl w:val="0"/>
      <w:numPr>
        <w:ilvl w:val="3"/>
        <w:numId w:val="1"/>
      </w:numPr>
      <w:spacing w:beforeLines="50" w:before="50" w:afterLines="50" w:after="50"/>
      <w:jc w:val="both"/>
      <w:outlineLvl w:val="2"/>
    </w:pPr>
    <w:rPr>
      <w:rFonts w:ascii="黑体" w:eastAsia="黑体"/>
      <w:sz w:val="21"/>
    </w:rPr>
  </w:style>
  <w:style w:type="table" w:customStyle="1" w:styleId="TableNormal1">
    <w:name w:val="Table Normal1"/>
    <w:semiHidden/>
    <w:unhideWhenUsed/>
    <w:qFormat/>
    <w:rPr>
      <w:rFonts w:ascii="Arial" w:eastAsia="等线" w:hAnsi="Arial" w:cs="Arial"/>
    </w:rPr>
    <w:tblPr>
      <w:tblCellMar>
        <w:top w:w="0" w:type="dxa"/>
        <w:left w:w="0" w:type="dxa"/>
        <w:bottom w:w="0" w:type="dxa"/>
        <w:right w:w="0" w:type="dxa"/>
      </w:tblCellMar>
    </w:tblPr>
  </w:style>
  <w:style w:type="paragraph" w:customStyle="1" w:styleId="a">
    <w:name w:val="章标题"/>
    <w:next w:val="aff5"/>
    <w:qFormat/>
    <w:pPr>
      <w:numPr>
        <w:numId w:val="2"/>
      </w:numPr>
      <w:spacing w:beforeLines="100" w:before="312" w:afterLines="100" w:after="312"/>
      <w:jc w:val="both"/>
      <w:outlineLvl w:val="1"/>
    </w:pPr>
    <w:rPr>
      <w:rFonts w:ascii="黑体" w:eastAsia="黑体"/>
      <w:sz w:val="21"/>
    </w:rPr>
  </w:style>
  <w:style w:type="paragraph" w:customStyle="1" w:styleId="aff5">
    <w:name w:val="段"/>
    <w:qFormat/>
    <w:pPr>
      <w:tabs>
        <w:tab w:val="center" w:pos="4201"/>
        <w:tab w:val="right" w:leader="dot" w:pos="9298"/>
      </w:tabs>
      <w:autoSpaceDE w:val="0"/>
      <w:autoSpaceDN w:val="0"/>
      <w:ind w:firstLineChars="200" w:firstLine="420"/>
      <w:jc w:val="both"/>
    </w:pPr>
    <w:rPr>
      <w:rFonts w:ascii="宋体"/>
      <w:sz w:val="21"/>
    </w:rPr>
  </w:style>
  <w:style w:type="paragraph" w:customStyle="1" w:styleId="a0">
    <w:name w:val="一级条标题"/>
    <w:next w:val="aff5"/>
    <w:qFormat/>
    <w:pPr>
      <w:numPr>
        <w:ilvl w:val="1"/>
        <w:numId w:val="2"/>
      </w:numPr>
      <w:spacing w:beforeLines="50" w:before="156" w:afterLines="50" w:after="156"/>
      <w:outlineLvl w:val="2"/>
    </w:pPr>
    <w:rPr>
      <w:rFonts w:ascii="黑体" w:eastAsia="黑体"/>
      <w:sz w:val="21"/>
      <w:szCs w:val="21"/>
    </w:rPr>
  </w:style>
  <w:style w:type="paragraph" w:customStyle="1" w:styleId="aff6">
    <w:name w:val="标准文件_术语条一"/>
    <w:basedOn w:val="aff7"/>
    <w:next w:val="aff3"/>
    <w:qFormat/>
  </w:style>
  <w:style w:type="paragraph" w:customStyle="1" w:styleId="aff7">
    <w:name w:val="标准文件_一级无标题"/>
    <w:basedOn w:val="a3"/>
    <w:qFormat/>
    <w:pPr>
      <w:spacing w:beforeLines="0" w:before="0" w:afterLines="0" w:after="0"/>
      <w:outlineLvl w:val="9"/>
    </w:pPr>
    <w:rPr>
      <w:rFonts w:ascii="宋体" w:eastAsia="宋体"/>
    </w:rPr>
  </w:style>
  <w:style w:type="paragraph" w:customStyle="1" w:styleId="a3">
    <w:name w:val="标准文件_一级条标题"/>
    <w:basedOn w:val="a2"/>
    <w:next w:val="aff3"/>
    <w:qFormat/>
    <w:pPr>
      <w:numPr>
        <w:ilvl w:val="2"/>
      </w:numPr>
      <w:spacing w:beforeLines="50" w:before="50" w:afterLines="50" w:after="50"/>
      <w:outlineLvl w:val="1"/>
    </w:pPr>
  </w:style>
  <w:style w:type="paragraph" w:customStyle="1" w:styleId="a2">
    <w:name w:val="标准文件_章标题"/>
    <w:next w:val="aff3"/>
    <w:qFormat/>
    <w:pPr>
      <w:numPr>
        <w:ilvl w:val="1"/>
        <w:numId w:val="1"/>
      </w:numPr>
      <w:spacing w:beforeLines="100" w:before="100" w:afterLines="100" w:after="100"/>
      <w:jc w:val="both"/>
      <w:outlineLvl w:val="0"/>
    </w:pPr>
    <w:rPr>
      <w:rFonts w:ascii="黑体" w:eastAsia="黑体"/>
      <w:sz w:val="21"/>
    </w:rPr>
  </w:style>
  <w:style w:type="table" w:customStyle="1" w:styleId="14">
    <w:name w:val="网格型1"/>
    <w:basedOn w:val="a7"/>
    <w:uiPriority w:val="39"/>
    <w:qFormat/>
    <w:rPr>
      <w:rFonts w:ascii="宋体"/>
      <w:sz w:val="18"/>
      <w:szCs w:val="18"/>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1">
    <w:name w:val="标准文件_注×："/>
    <w:qFormat/>
    <w:pPr>
      <w:widowControl w:val="0"/>
      <w:numPr>
        <w:numId w:val="3"/>
      </w:numPr>
      <w:autoSpaceDE w:val="0"/>
      <w:autoSpaceDN w:val="0"/>
      <w:jc w:val="both"/>
    </w:pPr>
    <w:rPr>
      <w:rFonts w:ascii="宋体"/>
      <w:sz w:val="18"/>
      <w:szCs w:val="18"/>
    </w:rPr>
  </w:style>
  <w:style w:type="paragraph" w:customStyle="1" w:styleId="aff8">
    <w:name w:val="标准文件_二级无标题"/>
    <w:basedOn w:val="a4"/>
    <w:qFormat/>
    <w:pPr>
      <w:spacing w:beforeLines="0" w:before="0" w:afterLines="0" w:after="0"/>
      <w:outlineLvl w:val="9"/>
    </w:pPr>
    <w:rPr>
      <w:rFonts w:ascii="宋体" w:eastAsia="宋体"/>
    </w:rPr>
  </w:style>
  <w:style w:type="paragraph" w:customStyle="1" w:styleId="aff9">
    <w:name w:val="标准文件_封面实施日期"/>
    <w:basedOn w:val="a5"/>
    <w:qFormat/>
    <w:pPr>
      <w:adjustRightInd w:val="0"/>
      <w:spacing w:line="310" w:lineRule="exact"/>
      <w:jc w:val="right"/>
    </w:pPr>
    <w:rPr>
      <w:rFonts w:ascii="黑体" w:eastAsia="黑体" w:hAnsi="Calibri"/>
      <w:sz w:val="28"/>
      <w:szCs w:val="21"/>
      <w14:ligatures w14:val="none"/>
    </w:rPr>
  </w:style>
  <w:style w:type="paragraph" w:customStyle="1" w:styleId="affa">
    <w:name w:val="标准文件_三级条标题"/>
    <w:basedOn w:val="a4"/>
    <w:next w:val="aff3"/>
    <w:qFormat/>
    <w:pPr>
      <w:widowControl/>
      <w:numPr>
        <w:ilvl w:val="0"/>
        <w:numId w:val="0"/>
      </w:numPr>
      <w:ind w:left="567"/>
      <w:outlineLvl w:val="3"/>
    </w:pPr>
  </w:style>
  <w:style w:type="paragraph" w:customStyle="1" w:styleId="affb">
    <w:name w:val="标准文件_四级条标题"/>
    <w:next w:val="aff3"/>
    <w:qFormat/>
    <w:pPr>
      <w:widowControl w:val="0"/>
      <w:spacing w:beforeLines="50" w:before="50" w:afterLines="50" w:after="50"/>
      <w:jc w:val="both"/>
      <w:outlineLvl w:val="4"/>
    </w:pPr>
    <w:rPr>
      <w:rFonts w:ascii="黑体" w:eastAsia="黑体"/>
      <w:sz w:val="21"/>
    </w:rPr>
  </w:style>
  <w:style w:type="paragraph" w:customStyle="1" w:styleId="affc">
    <w:name w:val="标准文件_五级条标题"/>
    <w:next w:val="aff3"/>
    <w:qFormat/>
    <w:pPr>
      <w:widowControl w:val="0"/>
      <w:spacing w:beforeLines="50" w:before="50" w:afterLines="50" w:after="50"/>
      <w:jc w:val="both"/>
      <w:outlineLvl w:val="5"/>
    </w:pPr>
    <w:rPr>
      <w:rFonts w:ascii="黑体" w:eastAsia="黑体"/>
      <w:sz w:val="21"/>
    </w:rPr>
  </w:style>
  <w:style w:type="paragraph" w:customStyle="1" w:styleId="affd">
    <w:name w:val="前言标题"/>
    <w:next w:val="a5"/>
    <w:qFormat/>
    <w:pPr>
      <w:shd w:val="clear" w:color="FFFFFF" w:fill="FFFFFF"/>
      <w:spacing w:before="540" w:after="600"/>
      <w:jc w:val="center"/>
      <w:outlineLvl w:val="0"/>
    </w:pPr>
    <w:rPr>
      <w:rFonts w:ascii="黑体" w:eastAsia="黑体"/>
      <w:sz w:val="32"/>
    </w:rPr>
  </w:style>
  <w:style w:type="character" w:customStyle="1" w:styleId="ad">
    <w:name w:val="日期 字符"/>
    <w:basedOn w:val="a6"/>
    <w:link w:val="ac"/>
    <w:uiPriority w:val="99"/>
    <w:semiHidden/>
    <w:qFormat/>
    <w:rPr>
      <w:rFonts w:eastAsia="仿宋"/>
      <w:kern w:val="2"/>
      <w:sz w:val="32"/>
      <w:szCs w:val="32"/>
      <w14:ligatures w14:val="standardContextual"/>
    </w:rPr>
  </w:style>
  <w:style w:type="paragraph" w:customStyle="1" w:styleId="33">
    <w:name w:val="修订3"/>
    <w:hidden/>
    <w:uiPriority w:val="99"/>
    <w:unhideWhenUsed/>
    <w:rPr>
      <w:rFonts w:eastAsia="仿宋"/>
      <w:kern w:val="2"/>
      <w:sz w:val="32"/>
      <w:szCs w:val="32"/>
      <w14:ligatures w14:val="standardContextual"/>
    </w:rPr>
  </w:style>
  <w:style w:type="paragraph" w:styleId="affe">
    <w:name w:val="Revision"/>
    <w:hidden/>
    <w:uiPriority w:val="99"/>
    <w:unhideWhenUsed/>
    <w:rsid w:val="00B55653"/>
    <w:rPr>
      <w:rFonts w:eastAsia="仿宋"/>
      <w:kern w:val="2"/>
      <w:sz w:val="32"/>
      <w:szCs w:val="3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5.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4.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19</Pages>
  <Words>4788</Words>
  <Characters>5125</Characters>
  <Application>Microsoft Office Word</Application>
  <DocSecurity>0</DocSecurity>
  <Lines>244</Lines>
  <Paragraphs>125</Paragraphs>
  <ScaleCrop>false</ScaleCrop>
  <Company/>
  <LinksUpToDate>false</LinksUpToDate>
  <CharactersWithSpaces>9788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Zhiwei Tan</dc:creator>
  <cp:lastModifiedBy>佳晨 施</cp:lastModifiedBy>
  <cp:revision>26</cp:revision>
  <cp:lastPrinted>2025-12-15T05:13:00Z</cp:lastPrinted>
  <dcterms:created xsi:type="dcterms:W3CDTF">2025-12-04T05:26:00Z</dcterms:created>
  <dcterms:modified xsi:type="dcterms:W3CDTF">2026-10-08T08:14:00Z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DD918B296B36412496B1A2B7E41DEF6A_13</vt:lpwstr>
  </property>
  <property fmtid="{D5CDD505-2E9C-101B-9397-08002B2CF9AE}" pid="4" name="KSOTemplateDocerSaveRecord">
    <vt:lpwstr>eyJoZGlkIjoiN2YwNDEwMzIxYjFhMDlkZmY2M2QzMmZmOTJkYjVhMTkiLCJ1c2VySWQiOiIzNzAyMjgxNTIifQ==</vt:lpwstr>
  </property>
  <property fmtid="{D5CDD505-2E9C-101B-9397-08002B2CF9AE}" pid="5" name="AIGC">
    <vt:lpwstr>{"Label":"1","ContentProducer":"001191440300708461136T1WFUO","ProduceID":"f343d428aba49b89d6970324c78e1769-kUMm","ReservedCode1":"{\"Type\":\" TC260PG\",\"Version\":1,\"Bindings\":[{\"Type\":\"soft\",\"AlgID\":\"sm3\",\"Value\":\"e210effa3ee8b0cd6c9552483d3d3ac6e40bbbdd6ed8f325a350847cb1bc6fb1\"},{\"Type\":\"hash\",\"AlgID\":\"sm3\",\"Value\":\"c6d01bdadbcdc2f859377d9b5a163721be736ca63607382c79494d177572d0ea\"}],\"PubSD\":[{\"Type\":\"DS\",\"AlgID\":\"sm2\",\"TBSData\":{\"Type\":\"Binding\",\"BType\":\"hash\"},\"Signature\":\"304502210099e75c9e73a7738b6b14398ad47618b902a1a9c60f2784529c73c58369402ebf022000c6ca72584c96bfce84ff6929bcf35962eba61de47988b7c2ca814f857b2b94\"},{\"Type\":\"PubKey\",\"AlgID\":\"sm2\",\"KeyValue\":\"0407f79b28a17a752b3aae4305c98b48978213832729a2571850b1310b2bc9fe8fee039ccf25ebfeac27502414d9fcef792d777183c98893d226171c2f7a3289a2\"}],\"Extension\":{\"Timestamp\":1791446594,\"KeyVersion\":\"v1-TxLeOmf7bqU223\"}}","ContentPropagator":"001191440300708461136T1WFUO","PropagateID":"f343d428aba49b89d6970324c78e1769-kUMm","ReservedCode2":"{\"Type\":\" TC260PG\",\"Version\":1,\"Bindings\":[{\"Type\":\"soft\",\"AlgID\":\"sm3\",\"Value\":\"e210effa3ee8b0cd6c9552483d3d3ac6e40bbbdd6ed8f325a350847cb1bc6fb1\"},{\"Type\":\"hash\",\"AlgID\":\"sm3\",\"Value\":\"c6d01bdadbcdc2f859377d9b5a163721be736ca63607382c79494d177572d0ea\"}],\"PubSD\":[{\"Type\":\"DS\",\"AlgID\":\"sm2\",\"TBSData\":{\"Type\":\"Binding\",\"BType\":\"hash\"},\"Signature\":\"304402206ad6e4c4b4dc8dadcd96e1947385be2adf5a0fec225151f1577ef11945a2c0ea02207fa4bdb2524bd059a0cec374992882d30879a5815851d4702c34831b4602ad7a\"},{\"Type\":\"PubKey\",\"AlgID\":\"sm2\",\"KeyValue\":\"0407f79b28a17a752b3aae4305c98b48978213832729a2571850b1310b2bc9fe8fee039ccf25ebfeac27502414d9fcef792d777183c98893d226171c2f7a3289a2\"}],\"Extension\":{\"Timestamp\":1791446594,\"KeyVersion\":\"v1-TxLeOmf7bqU223\"}}"}</vt:lpwstr>
  </property>
</Properties>
</file>