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0D06D0">
      <w:pPr>
        <w:adjustRightInd w:val="0"/>
        <w:snapToGrid w:val="0"/>
        <w:spacing w:line="360" w:lineRule="auto"/>
        <w:jc w:val="center"/>
        <w:rPr>
          <w:rFonts w:eastAsia="黑体"/>
          <w:kern w:val="2"/>
          <w:sz w:val="44"/>
          <w:szCs w:val="44"/>
          <w14:ligatures w14:val="standardContextual"/>
        </w:rPr>
      </w:pPr>
    </w:p>
    <w:p w14:paraId="78CB48AE">
      <w:pPr>
        <w:adjustRightInd w:val="0"/>
        <w:snapToGrid w:val="0"/>
        <w:spacing w:line="360" w:lineRule="auto"/>
        <w:jc w:val="center"/>
        <w:rPr>
          <w:rFonts w:eastAsia="黑体"/>
          <w:kern w:val="2"/>
          <w:sz w:val="44"/>
          <w:szCs w:val="44"/>
          <w14:ligatures w14:val="standardContextual"/>
        </w:rPr>
      </w:pPr>
    </w:p>
    <w:p w14:paraId="29B02370">
      <w:pPr>
        <w:adjustRightInd w:val="0"/>
        <w:snapToGrid w:val="0"/>
        <w:spacing w:line="360" w:lineRule="auto"/>
        <w:jc w:val="center"/>
        <w:rPr>
          <w:rFonts w:eastAsia="黑体"/>
          <w:kern w:val="2"/>
          <w:sz w:val="44"/>
          <w:szCs w:val="44"/>
          <w14:ligatures w14:val="standardContextual"/>
        </w:rPr>
      </w:pPr>
      <w:bookmarkStart w:id="17" w:name="_GoBack"/>
      <w:bookmarkEnd w:id="17"/>
    </w:p>
    <w:p w14:paraId="654C4CA3">
      <w:pPr>
        <w:adjustRightInd w:val="0"/>
        <w:snapToGrid w:val="0"/>
        <w:spacing w:line="360" w:lineRule="auto"/>
        <w:jc w:val="center"/>
        <w:rPr>
          <w:rFonts w:eastAsia="黑体"/>
          <w:kern w:val="2"/>
          <w:sz w:val="44"/>
          <w:szCs w:val="44"/>
          <w14:ligatures w14:val="standardContextual"/>
        </w:rPr>
      </w:pPr>
    </w:p>
    <w:p w14:paraId="3B24F7F6">
      <w:pPr>
        <w:adjustRightInd w:val="0"/>
        <w:snapToGrid w:val="0"/>
        <w:spacing w:line="360" w:lineRule="auto"/>
        <w:jc w:val="center"/>
      </w:pPr>
      <w:r>
        <w:rPr>
          <w:rFonts w:hint="eastAsia" w:eastAsia="黑体"/>
          <w:kern w:val="2"/>
          <w:sz w:val="44"/>
          <w:szCs w:val="44"/>
          <w14:ligatures w14:val="standardContextual"/>
        </w:rPr>
        <w:t>船用燃料供应电子单证技术规范</w:t>
      </w:r>
    </w:p>
    <w:p w14:paraId="14495DAE">
      <w:pPr>
        <w:spacing w:after="240"/>
        <w:jc w:val="center"/>
      </w:pPr>
      <w:r>
        <w:rPr>
          <w:rFonts w:hint="eastAsia" w:eastAsia="黑体"/>
          <w:sz w:val="44"/>
          <w:szCs w:val="44"/>
        </w:rPr>
        <w:t>第2部分：</w:t>
      </w:r>
      <w:r>
        <w:rPr>
          <w:rFonts w:hint="eastAsia" w:eastAsia="黑体"/>
          <w:kern w:val="2"/>
          <w:sz w:val="44"/>
          <w:szCs w:val="44"/>
          <w14:ligatures w14:val="standardContextual"/>
        </w:rPr>
        <w:t>信息平台与数据接口要求</w:t>
      </w:r>
    </w:p>
    <w:p w14:paraId="5D9B905C">
      <w:pPr>
        <w:adjustRightInd w:val="0"/>
        <w:snapToGrid w:val="0"/>
        <w:spacing w:line="360" w:lineRule="auto"/>
        <w:jc w:val="center"/>
        <w:rPr>
          <w:rFonts w:eastAsia="黑体"/>
          <w:kern w:val="2"/>
          <w:sz w:val="44"/>
          <w:szCs w:val="44"/>
          <w14:ligatures w14:val="standardContextual"/>
        </w:rPr>
      </w:pPr>
    </w:p>
    <w:p w14:paraId="33FE0372">
      <w:pPr>
        <w:spacing w:after="240"/>
        <w:jc w:val="center"/>
      </w:pPr>
      <w:r>
        <w:rPr>
          <w:rFonts w:hint="eastAsia" w:eastAsia="黑体"/>
          <w:sz w:val="44"/>
          <w:szCs w:val="44"/>
        </w:rPr>
        <w:t>（征求意见稿）</w:t>
      </w:r>
    </w:p>
    <w:p w14:paraId="32D70714">
      <w:pPr>
        <w:adjustRightInd w:val="0"/>
        <w:snapToGrid w:val="0"/>
        <w:spacing w:line="360" w:lineRule="auto"/>
        <w:jc w:val="center"/>
        <w:rPr>
          <w:rFonts w:eastAsia="黑体"/>
          <w:kern w:val="2"/>
          <w:sz w:val="44"/>
          <w:szCs w:val="44"/>
          <w14:ligatures w14:val="standardContextual"/>
        </w:rPr>
      </w:pPr>
    </w:p>
    <w:p w14:paraId="7E375BDC">
      <w:pPr>
        <w:adjustRightInd w:val="0"/>
        <w:snapToGrid w:val="0"/>
        <w:spacing w:line="360" w:lineRule="auto"/>
        <w:jc w:val="center"/>
      </w:pPr>
      <w:r>
        <w:rPr>
          <w:rFonts w:eastAsia="黑体"/>
          <w:kern w:val="2"/>
          <w:sz w:val="44"/>
          <w:szCs w:val="44"/>
          <w14:ligatures w14:val="standardContextual"/>
        </w:rPr>
        <w:t>编制说明</w:t>
      </w:r>
    </w:p>
    <w:p w14:paraId="2CCBFFB5">
      <w:pPr>
        <w:adjustRightInd w:val="0"/>
        <w:snapToGrid w:val="0"/>
        <w:spacing w:line="360" w:lineRule="auto"/>
        <w:jc w:val="center"/>
        <w:rPr>
          <w:rFonts w:eastAsia="宋体"/>
          <w:b/>
          <w:bCs/>
          <w:kern w:val="2"/>
          <w:sz w:val="32"/>
          <w:szCs w:val="32"/>
          <w14:ligatures w14:val="standardContextual"/>
        </w:rPr>
      </w:pPr>
    </w:p>
    <w:p w14:paraId="291D951A">
      <w:pPr>
        <w:adjustRightInd w:val="0"/>
        <w:snapToGrid w:val="0"/>
        <w:spacing w:line="360" w:lineRule="auto"/>
        <w:jc w:val="center"/>
        <w:rPr>
          <w:rFonts w:eastAsia="宋体"/>
          <w:b/>
          <w:bCs/>
          <w:kern w:val="2"/>
          <w:sz w:val="32"/>
          <w:szCs w:val="32"/>
          <w14:ligatures w14:val="standardContextual"/>
        </w:rPr>
      </w:pPr>
    </w:p>
    <w:p w14:paraId="6EEDD1D2">
      <w:pPr>
        <w:adjustRightInd w:val="0"/>
        <w:snapToGrid w:val="0"/>
        <w:spacing w:line="360" w:lineRule="auto"/>
        <w:jc w:val="center"/>
        <w:rPr>
          <w:rFonts w:eastAsia="宋体"/>
          <w:b/>
          <w:bCs/>
          <w:kern w:val="2"/>
          <w:sz w:val="32"/>
          <w:szCs w:val="32"/>
          <w14:ligatures w14:val="standardContextual"/>
        </w:rPr>
      </w:pPr>
    </w:p>
    <w:p w14:paraId="34975B27">
      <w:pPr>
        <w:adjustRightInd w:val="0"/>
        <w:snapToGrid w:val="0"/>
        <w:spacing w:line="360" w:lineRule="auto"/>
        <w:jc w:val="center"/>
        <w:rPr>
          <w:rFonts w:eastAsia="宋体"/>
          <w:b/>
          <w:bCs/>
          <w:kern w:val="2"/>
          <w:sz w:val="32"/>
          <w:szCs w:val="32"/>
          <w14:ligatures w14:val="standardContextual"/>
        </w:rPr>
      </w:pPr>
    </w:p>
    <w:p w14:paraId="2D90B65E">
      <w:pPr>
        <w:adjustRightInd w:val="0"/>
        <w:snapToGrid w:val="0"/>
        <w:spacing w:line="360" w:lineRule="auto"/>
        <w:jc w:val="center"/>
        <w:rPr>
          <w:rFonts w:eastAsia="宋体"/>
          <w:b/>
          <w:bCs/>
          <w:kern w:val="2"/>
          <w:sz w:val="32"/>
          <w:szCs w:val="32"/>
          <w14:ligatures w14:val="standardContextual"/>
        </w:rPr>
      </w:pPr>
    </w:p>
    <w:p w14:paraId="23B10DC4">
      <w:pPr>
        <w:adjustRightInd w:val="0"/>
        <w:snapToGrid w:val="0"/>
        <w:spacing w:line="360" w:lineRule="auto"/>
        <w:jc w:val="center"/>
        <w:rPr>
          <w:rFonts w:eastAsia="宋体"/>
          <w:b/>
          <w:bCs/>
          <w:kern w:val="2"/>
          <w:sz w:val="32"/>
          <w:szCs w:val="32"/>
          <w14:ligatures w14:val="standardContextual"/>
        </w:rPr>
      </w:pPr>
    </w:p>
    <w:p w14:paraId="5A69D4F8">
      <w:pPr>
        <w:adjustRightInd w:val="0"/>
        <w:snapToGrid w:val="0"/>
        <w:spacing w:line="360" w:lineRule="auto"/>
        <w:rPr>
          <w:rFonts w:eastAsia="宋体"/>
          <w:b/>
          <w:bCs/>
          <w:kern w:val="2"/>
          <w:sz w:val="32"/>
          <w:szCs w:val="32"/>
          <w14:ligatures w14:val="standardContextual"/>
        </w:rPr>
      </w:pPr>
    </w:p>
    <w:p w14:paraId="291C13D9">
      <w:pPr>
        <w:adjustRightInd w:val="0"/>
        <w:snapToGrid w:val="0"/>
        <w:spacing w:line="360" w:lineRule="auto"/>
        <w:jc w:val="center"/>
      </w:pPr>
      <w:r>
        <w:rPr>
          <w:rFonts w:hint="eastAsia" w:eastAsia="宋体"/>
          <w:b/>
          <w:bCs/>
          <w:kern w:val="2"/>
          <w:sz w:val="32"/>
          <w:szCs w:val="32"/>
          <w14:ligatures w14:val="standardContextual"/>
        </w:rPr>
        <w:t>标准编制组</w:t>
      </w:r>
    </w:p>
    <w:p w14:paraId="353238EF">
      <w:pPr>
        <w:adjustRightInd w:val="0"/>
        <w:snapToGrid w:val="0"/>
        <w:spacing w:line="360" w:lineRule="auto"/>
        <w:jc w:val="center"/>
      </w:pPr>
      <w:r>
        <w:rPr>
          <w:rFonts w:eastAsia="宋体"/>
          <w:b/>
          <w:bCs/>
          <w:kern w:val="2"/>
          <w:sz w:val="32"/>
          <w:szCs w:val="32"/>
          <w14:ligatures w14:val="standardContextual"/>
        </w:rPr>
        <w:t>2026年</w:t>
      </w:r>
      <w:r>
        <w:rPr>
          <w:rFonts w:hint="eastAsia" w:eastAsia="宋体"/>
          <w:b/>
          <w:bCs/>
          <w:kern w:val="2"/>
          <w:sz w:val="32"/>
          <w:szCs w:val="32"/>
          <w14:ligatures w14:val="standardContextual"/>
        </w:rPr>
        <w:t>9</w:t>
      </w:r>
      <w:r>
        <w:rPr>
          <w:rFonts w:eastAsia="宋体"/>
          <w:b/>
          <w:bCs/>
          <w:kern w:val="2"/>
          <w:sz w:val="32"/>
          <w:szCs w:val="32"/>
          <w14:ligatures w14:val="standardContextual"/>
        </w:rPr>
        <w:t>月</w:t>
      </w:r>
    </w:p>
    <w:p w14:paraId="62BEFF24">
      <w:pPr>
        <w:jc w:val="center"/>
        <w:rPr>
          <w:rFonts w:hint="eastAsia" w:ascii="宋体" w:hAnsi="宋体" w:eastAsia="宋体"/>
          <w:sz w:val="21"/>
        </w:rPr>
        <w:sectPr>
          <w:pgSz w:w="11906" w:h="16838"/>
          <w:pgMar w:top="1440" w:right="1440" w:bottom="1440" w:left="1440" w:header="708" w:footer="708" w:gutter="0"/>
          <w:pgNumType w:fmt="upperRoman"/>
          <w:cols w:space="720" w:num="1"/>
          <w:docGrid w:linePitch="360" w:charSpace="0"/>
        </w:sectPr>
      </w:pPr>
    </w:p>
    <w:sdt>
      <w:sdtPr>
        <w:rPr>
          <w:rFonts w:ascii="宋体" w:hAnsi="宋体" w:eastAsia="宋体"/>
          <w:sz w:val="21"/>
        </w:rPr>
        <w:id w:val="147481443"/>
        <w15:color w:val="DBDBDB"/>
        <w:docPartObj>
          <w:docPartGallery w:val="Table of Contents"/>
          <w:docPartUnique/>
        </w:docPartObj>
      </w:sdtPr>
      <w:sdtEndPr>
        <w:rPr>
          <w:rFonts w:ascii="宋体" w:hAnsi="宋体" w:eastAsia="宋体"/>
          <w:sz w:val="21"/>
        </w:rPr>
      </w:sdtEndPr>
      <w:sdtContent>
        <w:p w14:paraId="544EEB82">
          <w:pPr>
            <w:jc w:val="center"/>
          </w:pPr>
          <w:r>
            <w:rPr>
              <w:rFonts w:eastAsia="黑体"/>
              <w:kern w:val="2"/>
              <w:sz w:val="40"/>
              <w:szCs w:val="40"/>
              <w14:ligatures w14:val="standardContextual"/>
            </w:rPr>
            <w:t>目</w:t>
          </w:r>
          <w:r>
            <w:rPr>
              <w:rFonts w:hint="eastAsia" w:eastAsia="黑体"/>
              <w:kern w:val="2"/>
              <w:sz w:val="40"/>
              <w:szCs w:val="40"/>
              <w14:ligatures w14:val="standardContextual"/>
            </w:rPr>
            <w:t xml:space="preserve">  </w:t>
          </w:r>
          <w:r>
            <w:rPr>
              <w:rFonts w:eastAsia="黑体"/>
              <w:kern w:val="2"/>
              <w:sz w:val="40"/>
              <w:szCs w:val="40"/>
              <w14:ligatures w14:val="standardContextual"/>
            </w:rPr>
            <w:t>录</w:t>
          </w:r>
        </w:p>
        <w:p w14:paraId="72ADB57D">
          <w:pPr>
            <w:pStyle w:val="11"/>
            <w:tabs>
              <w:tab w:val="right" w:leader="dot" w:pos="8296"/>
            </w:tabs>
            <w:adjustRightInd w:val="0"/>
            <w:snapToGrid w:val="0"/>
            <w:spacing w:line="360" w:lineRule="auto"/>
            <w:jc w:val="left"/>
            <w:rPr>
              <w:rFonts w:eastAsia="仿宋"/>
              <w:kern w:val="2"/>
              <w:sz w:val="32"/>
              <w:szCs w:val="32"/>
              <w14:ligatures w14:val="standardContextual"/>
            </w:rPr>
          </w:pPr>
          <w:r>
            <w:fldChar w:fldCharType="begin"/>
          </w:r>
          <w:r>
            <w:instrText xml:space="preserve">TOC \o "1-2" \h \u </w:instrText>
          </w:r>
          <w:r>
            <w:fldChar w:fldCharType="separate"/>
          </w:r>
          <w:r>
            <w:fldChar w:fldCharType="begin"/>
          </w:r>
          <w:r>
            <w:instrText xml:space="preserve"> HYPERLINK \l "_Toc26204" </w:instrText>
          </w:r>
          <w:r>
            <w:fldChar w:fldCharType="separate"/>
          </w:r>
          <w:r>
            <w:rPr>
              <w:rFonts w:hint="eastAsia" w:eastAsia="仿宋"/>
              <w:kern w:val="2"/>
              <w:sz w:val="32"/>
              <w:szCs w:val="32"/>
              <w14:ligatures w14:val="standardContextual"/>
            </w:rPr>
            <w:t>一、工作简况</w:t>
          </w:r>
          <w:r>
            <w:rPr>
              <w:rFonts w:eastAsia="仿宋"/>
              <w:kern w:val="2"/>
              <w:sz w:val="32"/>
              <w:szCs w:val="32"/>
              <w14:ligatures w14:val="standardContextual"/>
            </w:rPr>
            <w:tab/>
          </w:r>
          <w:r>
            <w:rPr>
              <w:rFonts w:eastAsia="仿宋"/>
              <w:kern w:val="2"/>
              <w:sz w:val="32"/>
              <w:szCs w:val="32"/>
              <w14:ligatures w14:val="standardContextual"/>
            </w:rPr>
            <w:fldChar w:fldCharType="begin"/>
          </w:r>
          <w:r>
            <w:rPr>
              <w:rFonts w:eastAsia="仿宋"/>
              <w:kern w:val="2"/>
              <w:sz w:val="32"/>
              <w:szCs w:val="32"/>
              <w14:ligatures w14:val="standardContextual"/>
            </w:rPr>
            <w:instrText xml:space="preserve"> PAGEREF _Toc26204 \h </w:instrText>
          </w:r>
          <w:r>
            <w:rPr>
              <w:rFonts w:eastAsia="仿宋"/>
              <w:kern w:val="2"/>
              <w:sz w:val="32"/>
              <w:szCs w:val="32"/>
              <w14:ligatures w14:val="standardContextual"/>
            </w:rPr>
            <w:fldChar w:fldCharType="separate"/>
          </w:r>
          <w:r>
            <w:rPr>
              <w:rFonts w:eastAsia="仿宋"/>
              <w:kern w:val="2"/>
              <w:sz w:val="32"/>
              <w:szCs w:val="32"/>
              <w14:ligatures w14:val="standardContextual"/>
            </w:rPr>
            <w:t>3</w:t>
          </w:r>
          <w:r>
            <w:rPr>
              <w:rFonts w:eastAsia="仿宋"/>
              <w:kern w:val="2"/>
              <w:sz w:val="32"/>
              <w:szCs w:val="32"/>
              <w14:ligatures w14:val="standardContextual"/>
            </w:rPr>
            <w:fldChar w:fldCharType="end"/>
          </w:r>
          <w:r>
            <w:rPr>
              <w:rFonts w:eastAsia="仿宋"/>
              <w:kern w:val="2"/>
              <w:sz w:val="32"/>
              <w:szCs w:val="32"/>
              <w14:ligatures w14:val="standardContextual"/>
            </w:rPr>
            <w:fldChar w:fldCharType="end"/>
          </w:r>
        </w:p>
        <w:p w14:paraId="0D185F65">
          <w:pPr>
            <w:pStyle w:val="11"/>
            <w:tabs>
              <w:tab w:val="right" w:leader="dot" w:pos="8296"/>
            </w:tabs>
            <w:adjustRightInd w:val="0"/>
            <w:snapToGrid w:val="0"/>
            <w:spacing w:line="360" w:lineRule="auto"/>
            <w:ind w:firstLine="240" w:firstLineChars="100"/>
            <w:jc w:val="left"/>
            <w:rPr>
              <w:rFonts w:eastAsia="仿宋"/>
              <w:kern w:val="2"/>
              <w:sz w:val="32"/>
              <w:szCs w:val="32"/>
              <w14:ligatures w14:val="standardContextual"/>
            </w:rPr>
          </w:pPr>
          <w:r>
            <w:fldChar w:fldCharType="begin"/>
          </w:r>
          <w:r>
            <w:instrText xml:space="preserve"> HYPERLINK \l "_Toc25062" </w:instrText>
          </w:r>
          <w:r>
            <w:fldChar w:fldCharType="separate"/>
          </w:r>
          <w:r>
            <w:rPr>
              <w:rFonts w:hint="eastAsia" w:eastAsia="仿宋"/>
              <w:kern w:val="2"/>
              <w:sz w:val="32"/>
              <w:szCs w:val="32"/>
              <w14:ligatures w14:val="standardContextual"/>
            </w:rPr>
            <w:t>（一）任务来源</w:t>
          </w:r>
          <w:r>
            <w:rPr>
              <w:rFonts w:eastAsia="仿宋"/>
              <w:kern w:val="2"/>
              <w:sz w:val="32"/>
              <w:szCs w:val="32"/>
              <w14:ligatures w14:val="standardContextual"/>
            </w:rPr>
            <w:tab/>
          </w:r>
          <w:r>
            <w:rPr>
              <w:rFonts w:eastAsia="仿宋"/>
              <w:kern w:val="2"/>
              <w:sz w:val="32"/>
              <w:szCs w:val="32"/>
              <w14:ligatures w14:val="standardContextual"/>
            </w:rPr>
            <w:fldChar w:fldCharType="begin"/>
          </w:r>
          <w:r>
            <w:rPr>
              <w:rFonts w:eastAsia="仿宋"/>
              <w:kern w:val="2"/>
              <w:sz w:val="32"/>
              <w:szCs w:val="32"/>
              <w14:ligatures w14:val="standardContextual"/>
            </w:rPr>
            <w:instrText xml:space="preserve"> PAGEREF _Toc25062 \h </w:instrText>
          </w:r>
          <w:r>
            <w:rPr>
              <w:rFonts w:eastAsia="仿宋"/>
              <w:kern w:val="2"/>
              <w:sz w:val="32"/>
              <w:szCs w:val="32"/>
              <w14:ligatures w14:val="standardContextual"/>
            </w:rPr>
            <w:fldChar w:fldCharType="separate"/>
          </w:r>
          <w:r>
            <w:rPr>
              <w:rFonts w:eastAsia="仿宋"/>
              <w:kern w:val="2"/>
              <w:sz w:val="32"/>
              <w:szCs w:val="32"/>
              <w14:ligatures w14:val="standardContextual"/>
            </w:rPr>
            <w:t>3</w:t>
          </w:r>
          <w:r>
            <w:rPr>
              <w:rFonts w:eastAsia="仿宋"/>
              <w:kern w:val="2"/>
              <w:sz w:val="32"/>
              <w:szCs w:val="32"/>
              <w14:ligatures w14:val="standardContextual"/>
            </w:rPr>
            <w:fldChar w:fldCharType="end"/>
          </w:r>
          <w:r>
            <w:rPr>
              <w:rFonts w:eastAsia="仿宋"/>
              <w:kern w:val="2"/>
              <w:sz w:val="32"/>
              <w:szCs w:val="32"/>
              <w14:ligatures w14:val="standardContextual"/>
            </w:rPr>
            <w:fldChar w:fldCharType="end"/>
          </w:r>
        </w:p>
        <w:p w14:paraId="7B105737">
          <w:pPr>
            <w:pStyle w:val="11"/>
            <w:tabs>
              <w:tab w:val="right" w:leader="dot" w:pos="8296"/>
            </w:tabs>
            <w:adjustRightInd w:val="0"/>
            <w:snapToGrid w:val="0"/>
            <w:spacing w:line="360" w:lineRule="auto"/>
            <w:ind w:firstLine="240" w:firstLineChars="100"/>
            <w:jc w:val="left"/>
            <w:rPr>
              <w:rFonts w:eastAsia="仿宋"/>
              <w:kern w:val="2"/>
              <w:sz w:val="32"/>
              <w:szCs w:val="32"/>
              <w14:ligatures w14:val="standardContextual"/>
            </w:rPr>
          </w:pPr>
          <w:r>
            <w:fldChar w:fldCharType="begin"/>
          </w:r>
          <w:r>
            <w:instrText xml:space="preserve"> HYPERLINK \l "_Toc13386" </w:instrText>
          </w:r>
          <w:r>
            <w:fldChar w:fldCharType="separate"/>
          </w:r>
          <w:r>
            <w:rPr>
              <w:rFonts w:hint="eastAsia" w:eastAsia="仿宋"/>
              <w:kern w:val="2"/>
              <w:sz w:val="32"/>
              <w:szCs w:val="32"/>
              <w14:ligatures w14:val="standardContextual"/>
            </w:rPr>
            <w:t>（二）制定背景</w:t>
          </w:r>
          <w:r>
            <w:rPr>
              <w:rFonts w:eastAsia="仿宋"/>
              <w:kern w:val="2"/>
              <w:sz w:val="32"/>
              <w:szCs w:val="32"/>
              <w14:ligatures w14:val="standardContextual"/>
            </w:rPr>
            <w:tab/>
          </w:r>
          <w:r>
            <w:rPr>
              <w:rFonts w:eastAsia="仿宋"/>
              <w:kern w:val="2"/>
              <w:sz w:val="32"/>
              <w:szCs w:val="32"/>
              <w14:ligatures w14:val="standardContextual"/>
            </w:rPr>
            <w:fldChar w:fldCharType="begin"/>
          </w:r>
          <w:r>
            <w:rPr>
              <w:rFonts w:eastAsia="仿宋"/>
              <w:kern w:val="2"/>
              <w:sz w:val="32"/>
              <w:szCs w:val="32"/>
              <w14:ligatures w14:val="standardContextual"/>
            </w:rPr>
            <w:instrText xml:space="preserve"> PAGEREF _Toc13386 \h </w:instrText>
          </w:r>
          <w:r>
            <w:rPr>
              <w:rFonts w:eastAsia="仿宋"/>
              <w:kern w:val="2"/>
              <w:sz w:val="32"/>
              <w:szCs w:val="32"/>
              <w14:ligatures w14:val="standardContextual"/>
            </w:rPr>
            <w:fldChar w:fldCharType="separate"/>
          </w:r>
          <w:r>
            <w:rPr>
              <w:rFonts w:eastAsia="仿宋"/>
              <w:kern w:val="2"/>
              <w:sz w:val="32"/>
              <w:szCs w:val="32"/>
              <w14:ligatures w14:val="standardContextual"/>
            </w:rPr>
            <w:t>3</w:t>
          </w:r>
          <w:r>
            <w:rPr>
              <w:rFonts w:eastAsia="仿宋"/>
              <w:kern w:val="2"/>
              <w:sz w:val="32"/>
              <w:szCs w:val="32"/>
              <w14:ligatures w14:val="standardContextual"/>
            </w:rPr>
            <w:fldChar w:fldCharType="end"/>
          </w:r>
          <w:r>
            <w:rPr>
              <w:rFonts w:eastAsia="仿宋"/>
              <w:kern w:val="2"/>
              <w:sz w:val="32"/>
              <w:szCs w:val="32"/>
              <w14:ligatures w14:val="standardContextual"/>
            </w:rPr>
            <w:fldChar w:fldCharType="end"/>
          </w:r>
        </w:p>
        <w:p w14:paraId="3CEEDBA8">
          <w:pPr>
            <w:pStyle w:val="11"/>
            <w:tabs>
              <w:tab w:val="right" w:leader="dot" w:pos="8296"/>
            </w:tabs>
            <w:adjustRightInd w:val="0"/>
            <w:snapToGrid w:val="0"/>
            <w:spacing w:line="360" w:lineRule="auto"/>
            <w:ind w:firstLine="240" w:firstLineChars="100"/>
            <w:jc w:val="left"/>
            <w:rPr>
              <w:rFonts w:eastAsia="仿宋"/>
              <w:kern w:val="2"/>
              <w:sz w:val="32"/>
              <w:szCs w:val="32"/>
              <w14:ligatures w14:val="standardContextual"/>
            </w:rPr>
          </w:pPr>
          <w:r>
            <w:fldChar w:fldCharType="begin"/>
          </w:r>
          <w:r>
            <w:instrText xml:space="preserve"> HYPERLINK \l "_Toc28874" </w:instrText>
          </w:r>
          <w:r>
            <w:fldChar w:fldCharType="separate"/>
          </w:r>
          <w:r>
            <w:rPr>
              <w:rFonts w:hint="eastAsia" w:eastAsia="仿宋"/>
              <w:kern w:val="2"/>
              <w:sz w:val="32"/>
              <w:szCs w:val="32"/>
              <w14:ligatures w14:val="standardContextual"/>
            </w:rPr>
            <w:t>（三）起草过程</w:t>
          </w:r>
          <w:r>
            <w:rPr>
              <w:rFonts w:eastAsia="仿宋"/>
              <w:kern w:val="2"/>
              <w:sz w:val="32"/>
              <w:szCs w:val="32"/>
              <w14:ligatures w14:val="standardContextual"/>
            </w:rPr>
            <w:tab/>
          </w:r>
          <w:r>
            <w:rPr>
              <w:rFonts w:eastAsia="仿宋"/>
              <w:kern w:val="2"/>
              <w:sz w:val="32"/>
              <w:szCs w:val="32"/>
              <w14:ligatures w14:val="standardContextual"/>
            </w:rPr>
            <w:fldChar w:fldCharType="begin"/>
          </w:r>
          <w:r>
            <w:rPr>
              <w:rFonts w:eastAsia="仿宋"/>
              <w:kern w:val="2"/>
              <w:sz w:val="32"/>
              <w:szCs w:val="32"/>
              <w14:ligatures w14:val="standardContextual"/>
            </w:rPr>
            <w:instrText xml:space="preserve"> PAGEREF _Toc28874 \h </w:instrText>
          </w:r>
          <w:r>
            <w:rPr>
              <w:rFonts w:eastAsia="仿宋"/>
              <w:kern w:val="2"/>
              <w:sz w:val="32"/>
              <w:szCs w:val="32"/>
              <w14:ligatures w14:val="standardContextual"/>
            </w:rPr>
            <w:fldChar w:fldCharType="separate"/>
          </w:r>
          <w:r>
            <w:rPr>
              <w:rFonts w:eastAsia="仿宋"/>
              <w:kern w:val="2"/>
              <w:sz w:val="32"/>
              <w:szCs w:val="32"/>
              <w14:ligatures w14:val="standardContextual"/>
            </w:rPr>
            <w:t>4</w:t>
          </w:r>
          <w:r>
            <w:rPr>
              <w:rFonts w:eastAsia="仿宋"/>
              <w:kern w:val="2"/>
              <w:sz w:val="32"/>
              <w:szCs w:val="32"/>
              <w14:ligatures w14:val="standardContextual"/>
            </w:rPr>
            <w:fldChar w:fldCharType="end"/>
          </w:r>
          <w:r>
            <w:rPr>
              <w:rFonts w:eastAsia="仿宋"/>
              <w:kern w:val="2"/>
              <w:sz w:val="32"/>
              <w:szCs w:val="32"/>
              <w14:ligatures w14:val="standardContextual"/>
            </w:rPr>
            <w:fldChar w:fldCharType="end"/>
          </w:r>
        </w:p>
        <w:p w14:paraId="326D8D7B">
          <w:pPr>
            <w:pStyle w:val="11"/>
            <w:tabs>
              <w:tab w:val="right" w:leader="dot" w:pos="8296"/>
            </w:tabs>
            <w:adjustRightInd w:val="0"/>
            <w:snapToGrid w:val="0"/>
            <w:spacing w:line="360" w:lineRule="auto"/>
            <w:jc w:val="left"/>
            <w:rPr>
              <w:rFonts w:eastAsia="仿宋"/>
              <w:kern w:val="2"/>
              <w:sz w:val="32"/>
              <w:szCs w:val="32"/>
              <w14:ligatures w14:val="standardContextual"/>
            </w:rPr>
          </w:pPr>
          <w:r>
            <w:fldChar w:fldCharType="begin"/>
          </w:r>
          <w:r>
            <w:instrText xml:space="preserve"> HYPERLINK \l "_Toc22577" </w:instrText>
          </w:r>
          <w:r>
            <w:fldChar w:fldCharType="separate"/>
          </w:r>
          <w:r>
            <w:rPr>
              <w:rFonts w:hint="eastAsia" w:eastAsia="仿宋"/>
              <w:kern w:val="2"/>
              <w:sz w:val="32"/>
              <w:szCs w:val="32"/>
              <w14:ligatures w14:val="standardContextual"/>
            </w:rPr>
            <w:t>二、标准编制原则、主要内容及其确定依据</w:t>
          </w:r>
          <w:r>
            <w:rPr>
              <w:rFonts w:eastAsia="仿宋"/>
              <w:kern w:val="2"/>
              <w:sz w:val="32"/>
              <w:szCs w:val="32"/>
              <w14:ligatures w14:val="standardContextual"/>
            </w:rPr>
            <w:tab/>
          </w:r>
          <w:r>
            <w:rPr>
              <w:rFonts w:eastAsia="仿宋"/>
              <w:kern w:val="2"/>
              <w:sz w:val="32"/>
              <w:szCs w:val="32"/>
              <w14:ligatures w14:val="standardContextual"/>
            </w:rPr>
            <w:fldChar w:fldCharType="begin"/>
          </w:r>
          <w:r>
            <w:rPr>
              <w:rFonts w:eastAsia="仿宋"/>
              <w:kern w:val="2"/>
              <w:sz w:val="32"/>
              <w:szCs w:val="32"/>
              <w14:ligatures w14:val="standardContextual"/>
            </w:rPr>
            <w:instrText xml:space="preserve"> PAGEREF _Toc22577 \h </w:instrText>
          </w:r>
          <w:r>
            <w:rPr>
              <w:rFonts w:eastAsia="仿宋"/>
              <w:kern w:val="2"/>
              <w:sz w:val="32"/>
              <w:szCs w:val="32"/>
              <w14:ligatures w14:val="standardContextual"/>
            </w:rPr>
            <w:fldChar w:fldCharType="separate"/>
          </w:r>
          <w:r>
            <w:rPr>
              <w:rFonts w:eastAsia="仿宋"/>
              <w:kern w:val="2"/>
              <w:sz w:val="32"/>
              <w:szCs w:val="32"/>
              <w14:ligatures w14:val="standardContextual"/>
            </w:rPr>
            <w:t>5</w:t>
          </w:r>
          <w:r>
            <w:rPr>
              <w:rFonts w:eastAsia="仿宋"/>
              <w:kern w:val="2"/>
              <w:sz w:val="32"/>
              <w:szCs w:val="32"/>
              <w14:ligatures w14:val="standardContextual"/>
            </w:rPr>
            <w:fldChar w:fldCharType="end"/>
          </w:r>
          <w:r>
            <w:rPr>
              <w:rFonts w:eastAsia="仿宋"/>
              <w:kern w:val="2"/>
              <w:sz w:val="32"/>
              <w:szCs w:val="32"/>
              <w14:ligatures w14:val="standardContextual"/>
            </w:rPr>
            <w:fldChar w:fldCharType="end"/>
          </w:r>
        </w:p>
        <w:p w14:paraId="2FD96C2B">
          <w:pPr>
            <w:pStyle w:val="11"/>
            <w:tabs>
              <w:tab w:val="right" w:leader="dot" w:pos="8296"/>
            </w:tabs>
            <w:adjustRightInd w:val="0"/>
            <w:snapToGrid w:val="0"/>
            <w:spacing w:line="360" w:lineRule="auto"/>
            <w:ind w:firstLine="240" w:firstLineChars="100"/>
            <w:jc w:val="left"/>
            <w:rPr>
              <w:rFonts w:eastAsia="仿宋"/>
              <w:kern w:val="2"/>
              <w:sz w:val="32"/>
              <w:szCs w:val="32"/>
              <w14:ligatures w14:val="standardContextual"/>
            </w:rPr>
          </w:pPr>
          <w:r>
            <w:fldChar w:fldCharType="begin"/>
          </w:r>
          <w:r>
            <w:instrText xml:space="preserve"> HYPERLINK \l "_Toc25461" </w:instrText>
          </w:r>
          <w:r>
            <w:fldChar w:fldCharType="separate"/>
          </w:r>
          <w:r>
            <w:rPr>
              <w:rFonts w:hint="eastAsia" w:eastAsia="仿宋"/>
              <w:kern w:val="2"/>
              <w:sz w:val="32"/>
              <w:szCs w:val="32"/>
              <w14:ligatures w14:val="standardContextual"/>
            </w:rPr>
            <w:t>（一）标准编制原则</w:t>
          </w:r>
          <w:r>
            <w:rPr>
              <w:rFonts w:eastAsia="仿宋"/>
              <w:kern w:val="2"/>
              <w:sz w:val="32"/>
              <w:szCs w:val="32"/>
              <w14:ligatures w14:val="standardContextual"/>
            </w:rPr>
            <w:tab/>
          </w:r>
          <w:r>
            <w:rPr>
              <w:rFonts w:eastAsia="仿宋"/>
              <w:kern w:val="2"/>
              <w:sz w:val="32"/>
              <w:szCs w:val="32"/>
              <w14:ligatures w14:val="standardContextual"/>
            </w:rPr>
            <w:fldChar w:fldCharType="begin"/>
          </w:r>
          <w:r>
            <w:rPr>
              <w:rFonts w:eastAsia="仿宋"/>
              <w:kern w:val="2"/>
              <w:sz w:val="32"/>
              <w:szCs w:val="32"/>
              <w14:ligatures w14:val="standardContextual"/>
            </w:rPr>
            <w:instrText xml:space="preserve"> PAGEREF _Toc25461 \h </w:instrText>
          </w:r>
          <w:r>
            <w:rPr>
              <w:rFonts w:eastAsia="仿宋"/>
              <w:kern w:val="2"/>
              <w:sz w:val="32"/>
              <w:szCs w:val="32"/>
              <w14:ligatures w14:val="standardContextual"/>
            </w:rPr>
            <w:fldChar w:fldCharType="separate"/>
          </w:r>
          <w:r>
            <w:rPr>
              <w:rFonts w:eastAsia="仿宋"/>
              <w:kern w:val="2"/>
              <w:sz w:val="32"/>
              <w:szCs w:val="32"/>
              <w14:ligatures w14:val="standardContextual"/>
            </w:rPr>
            <w:t>5</w:t>
          </w:r>
          <w:r>
            <w:rPr>
              <w:rFonts w:eastAsia="仿宋"/>
              <w:kern w:val="2"/>
              <w:sz w:val="32"/>
              <w:szCs w:val="32"/>
              <w14:ligatures w14:val="standardContextual"/>
            </w:rPr>
            <w:fldChar w:fldCharType="end"/>
          </w:r>
          <w:r>
            <w:rPr>
              <w:rFonts w:eastAsia="仿宋"/>
              <w:kern w:val="2"/>
              <w:sz w:val="32"/>
              <w:szCs w:val="32"/>
              <w14:ligatures w14:val="standardContextual"/>
            </w:rPr>
            <w:fldChar w:fldCharType="end"/>
          </w:r>
        </w:p>
        <w:p w14:paraId="43178836">
          <w:pPr>
            <w:pStyle w:val="11"/>
            <w:tabs>
              <w:tab w:val="right" w:leader="dot" w:pos="8296"/>
            </w:tabs>
            <w:adjustRightInd w:val="0"/>
            <w:snapToGrid w:val="0"/>
            <w:spacing w:line="360" w:lineRule="auto"/>
            <w:ind w:firstLine="240" w:firstLineChars="100"/>
            <w:jc w:val="left"/>
            <w:rPr>
              <w:rFonts w:eastAsia="仿宋"/>
              <w:kern w:val="2"/>
              <w:sz w:val="32"/>
              <w:szCs w:val="32"/>
              <w14:ligatures w14:val="standardContextual"/>
            </w:rPr>
          </w:pPr>
          <w:r>
            <w:fldChar w:fldCharType="begin"/>
          </w:r>
          <w:r>
            <w:instrText xml:space="preserve"> HYPERLINK \l "_Toc29875" </w:instrText>
          </w:r>
          <w:r>
            <w:fldChar w:fldCharType="separate"/>
          </w:r>
          <w:r>
            <w:rPr>
              <w:rFonts w:hint="eastAsia" w:eastAsia="仿宋"/>
              <w:kern w:val="2"/>
              <w:sz w:val="32"/>
              <w:szCs w:val="32"/>
              <w14:ligatures w14:val="standardContextual"/>
            </w:rPr>
            <w:t>（二）主要技术内容及确定依据</w:t>
          </w:r>
          <w:r>
            <w:rPr>
              <w:rFonts w:eastAsia="仿宋"/>
              <w:kern w:val="2"/>
              <w:sz w:val="32"/>
              <w:szCs w:val="32"/>
              <w14:ligatures w14:val="standardContextual"/>
            </w:rPr>
            <w:tab/>
          </w:r>
          <w:r>
            <w:rPr>
              <w:rFonts w:eastAsia="仿宋"/>
              <w:kern w:val="2"/>
              <w:sz w:val="32"/>
              <w:szCs w:val="32"/>
              <w14:ligatures w14:val="standardContextual"/>
            </w:rPr>
            <w:fldChar w:fldCharType="begin"/>
          </w:r>
          <w:r>
            <w:rPr>
              <w:rFonts w:eastAsia="仿宋"/>
              <w:kern w:val="2"/>
              <w:sz w:val="32"/>
              <w:szCs w:val="32"/>
              <w14:ligatures w14:val="standardContextual"/>
            </w:rPr>
            <w:instrText xml:space="preserve"> PAGEREF _Toc29875 \h </w:instrText>
          </w:r>
          <w:r>
            <w:rPr>
              <w:rFonts w:eastAsia="仿宋"/>
              <w:kern w:val="2"/>
              <w:sz w:val="32"/>
              <w:szCs w:val="32"/>
              <w14:ligatures w14:val="standardContextual"/>
            </w:rPr>
            <w:fldChar w:fldCharType="separate"/>
          </w:r>
          <w:r>
            <w:rPr>
              <w:rFonts w:eastAsia="仿宋"/>
              <w:kern w:val="2"/>
              <w:sz w:val="32"/>
              <w:szCs w:val="32"/>
              <w14:ligatures w14:val="standardContextual"/>
            </w:rPr>
            <w:t>6</w:t>
          </w:r>
          <w:r>
            <w:rPr>
              <w:rFonts w:eastAsia="仿宋"/>
              <w:kern w:val="2"/>
              <w:sz w:val="32"/>
              <w:szCs w:val="32"/>
              <w14:ligatures w14:val="standardContextual"/>
            </w:rPr>
            <w:fldChar w:fldCharType="end"/>
          </w:r>
          <w:r>
            <w:rPr>
              <w:rFonts w:eastAsia="仿宋"/>
              <w:kern w:val="2"/>
              <w:sz w:val="32"/>
              <w:szCs w:val="32"/>
              <w14:ligatures w14:val="standardContextual"/>
            </w:rPr>
            <w:fldChar w:fldCharType="end"/>
          </w:r>
        </w:p>
        <w:p w14:paraId="78D14A3E">
          <w:pPr>
            <w:pStyle w:val="11"/>
            <w:tabs>
              <w:tab w:val="right" w:leader="dot" w:pos="8296"/>
            </w:tabs>
            <w:adjustRightInd w:val="0"/>
            <w:snapToGrid w:val="0"/>
            <w:spacing w:line="360" w:lineRule="auto"/>
            <w:jc w:val="left"/>
            <w:rPr>
              <w:rFonts w:eastAsia="仿宋"/>
              <w:kern w:val="2"/>
              <w:sz w:val="32"/>
              <w:szCs w:val="32"/>
              <w14:ligatures w14:val="standardContextual"/>
            </w:rPr>
          </w:pPr>
          <w:r>
            <w:fldChar w:fldCharType="begin"/>
          </w:r>
          <w:r>
            <w:instrText xml:space="preserve"> HYPERLINK \l "_Toc392" </w:instrText>
          </w:r>
          <w:r>
            <w:fldChar w:fldCharType="separate"/>
          </w:r>
          <w:r>
            <w:rPr>
              <w:rFonts w:hint="eastAsia" w:eastAsia="仿宋"/>
              <w:kern w:val="2"/>
              <w:sz w:val="32"/>
              <w:szCs w:val="32"/>
              <w14:ligatures w14:val="standardContextual"/>
            </w:rPr>
            <w:t>三、试验验证的分析、综述报告，技术经济论证，预期的经济效益、社会效益和生态效益</w:t>
          </w:r>
          <w:r>
            <w:rPr>
              <w:rFonts w:eastAsia="仿宋"/>
              <w:kern w:val="2"/>
              <w:sz w:val="32"/>
              <w:szCs w:val="32"/>
              <w14:ligatures w14:val="standardContextual"/>
            </w:rPr>
            <w:tab/>
          </w:r>
          <w:r>
            <w:rPr>
              <w:rFonts w:eastAsia="仿宋"/>
              <w:kern w:val="2"/>
              <w:sz w:val="32"/>
              <w:szCs w:val="32"/>
              <w14:ligatures w14:val="standardContextual"/>
            </w:rPr>
            <w:fldChar w:fldCharType="begin"/>
          </w:r>
          <w:r>
            <w:rPr>
              <w:rFonts w:eastAsia="仿宋"/>
              <w:kern w:val="2"/>
              <w:sz w:val="32"/>
              <w:szCs w:val="32"/>
              <w14:ligatures w14:val="standardContextual"/>
            </w:rPr>
            <w:instrText xml:space="preserve"> PAGEREF _Toc392 \h </w:instrText>
          </w:r>
          <w:r>
            <w:rPr>
              <w:rFonts w:eastAsia="仿宋"/>
              <w:kern w:val="2"/>
              <w:sz w:val="32"/>
              <w:szCs w:val="32"/>
              <w14:ligatures w14:val="standardContextual"/>
            </w:rPr>
            <w:fldChar w:fldCharType="separate"/>
          </w:r>
          <w:r>
            <w:rPr>
              <w:rFonts w:eastAsia="仿宋"/>
              <w:kern w:val="2"/>
              <w:sz w:val="32"/>
              <w:szCs w:val="32"/>
              <w14:ligatures w14:val="standardContextual"/>
            </w:rPr>
            <w:t>12</w:t>
          </w:r>
          <w:r>
            <w:rPr>
              <w:rFonts w:eastAsia="仿宋"/>
              <w:kern w:val="2"/>
              <w:sz w:val="32"/>
              <w:szCs w:val="32"/>
              <w14:ligatures w14:val="standardContextual"/>
            </w:rPr>
            <w:fldChar w:fldCharType="end"/>
          </w:r>
          <w:r>
            <w:rPr>
              <w:rFonts w:eastAsia="仿宋"/>
              <w:kern w:val="2"/>
              <w:sz w:val="32"/>
              <w:szCs w:val="32"/>
              <w14:ligatures w14:val="standardContextual"/>
            </w:rPr>
            <w:fldChar w:fldCharType="end"/>
          </w:r>
        </w:p>
        <w:p w14:paraId="101A296F">
          <w:pPr>
            <w:pStyle w:val="11"/>
            <w:tabs>
              <w:tab w:val="right" w:leader="dot" w:pos="8296"/>
            </w:tabs>
            <w:adjustRightInd w:val="0"/>
            <w:snapToGrid w:val="0"/>
            <w:spacing w:line="360" w:lineRule="auto"/>
            <w:ind w:firstLine="240" w:firstLineChars="100"/>
            <w:jc w:val="left"/>
            <w:rPr>
              <w:rFonts w:eastAsia="仿宋"/>
              <w:kern w:val="2"/>
              <w:sz w:val="32"/>
              <w:szCs w:val="32"/>
              <w14:ligatures w14:val="standardContextual"/>
            </w:rPr>
          </w:pPr>
          <w:r>
            <w:fldChar w:fldCharType="begin"/>
          </w:r>
          <w:r>
            <w:instrText xml:space="preserve"> HYPERLINK \l "_Toc19531" </w:instrText>
          </w:r>
          <w:r>
            <w:fldChar w:fldCharType="separate"/>
          </w:r>
          <w:r>
            <w:rPr>
              <w:rFonts w:hint="eastAsia" w:eastAsia="仿宋"/>
              <w:kern w:val="2"/>
              <w:sz w:val="32"/>
              <w:szCs w:val="32"/>
              <w14:ligatures w14:val="standardContextual"/>
            </w:rPr>
            <w:t>（一）试验验证的分析</w:t>
          </w:r>
          <w:r>
            <w:rPr>
              <w:rFonts w:eastAsia="仿宋"/>
              <w:kern w:val="2"/>
              <w:sz w:val="32"/>
              <w:szCs w:val="32"/>
              <w14:ligatures w14:val="standardContextual"/>
            </w:rPr>
            <w:tab/>
          </w:r>
          <w:r>
            <w:rPr>
              <w:rFonts w:eastAsia="仿宋"/>
              <w:kern w:val="2"/>
              <w:sz w:val="32"/>
              <w:szCs w:val="32"/>
              <w14:ligatures w14:val="standardContextual"/>
            </w:rPr>
            <w:fldChar w:fldCharType="begin"/>
          </w:r>
          <w:r>
            <w:rPr>
              <w:rFonts w:eastAsia="仿宋"/>
              <w:kern w:val="2"/>
              <w:sz w:val="32"/>
              <w:szCs w:val="32"/>
              <w14:ligatures w14:val="standardContextual"/>
            </w:rPr>
            <w:instrText xml:space="preserve"> PAGEREF _Toc19531 \h </w:instrText>
          </w:r>
          <w:r>
            <w:rPr>
              <w:rFonts w:eastAsia="仿宋"/>
              <w:kern w:val="2"/>
              <w:sz w:val="32"/>
              <w:szCs w:val="32"/>
              <w14:ligatures w14:val="standardContextual"/>
            </w:rPr>
            <w:fldChar w:fldCharType="separate"/>
          </w:r>
          <w:r>
            <w:rPr>
              <w:rFonts w:eastAsia="仿宋"/>
              <w:kern w:val="2"/>
              <w:sz w:val="32"/>
              <w:szCs w:val="32"/>
              <w14:ligatures w14:val="standardContextual"/>
            </w:rPr>
            <w:t>12</w:t>
          </w:r>
          <w:r>
            <w:rPr>
              <w:rFonts w:eastAsia="仿宋"/>
              <w:kern w:val="2"/>
              <w:sz w:val="32"/>
              <w:szCs w:val="32"/>
              <w14:ligatures w14:val="standardContextual"/>
            </w:rPr>
            <w:fldChar w:fldCharType="end"/>
          </w:r>
          <w:r>
            <w:rPr>
              <w:rFonts w:eastAsia="仿宋"/>
              <w:kern w:val="2"/>
              <w:sz w:val="32"/>
              <w:szCs w:val="32"/>
              <w14:ligatures w14:val="standardContextual"/>
            </w:rPr>
            <w:fldChar w:fldCharType="end"/>
          </w:r>
        </w:p>
        <w:p w14:paraId="56B43302">
          <w:pPr>
            <w:pStyle w:val="11"/>
            <w:tabs>
              <w:tab w:val="right" w:leader="dot" w:pos="8296"/>
            </w:tabs>
            <w:adjustRightInd w:val="0"/>
            <w:snapToGrid w:val="0"/>
            <w:spacing w:line="360" w:lineRule="auto"/>
            <w:ind w:firstLine="240" w:firstLineChars="100"/>
            <w:jc w:val="left"/>
            <w:rPr>
              <w:rFonts w:eastAsia="仿宋"/>
              <w:kern w:val="2"/>
              <w:sz w:val="32"/>
              <w:szCs w:val="32"/>
              <w14:ligatures w14:val="standardContextual"/>
            </w:rPr>
          </w:pPr>
          <w:r>
            <w:fldChar w:fldCharType="begin"/>
          </w:r>
          <w:r>
            <w:instrText xml:space="preserve"> HYPERLINK \l "_Toc16242" </w:instrText>
          </w:r>
          <w:r>
            <w:fldChar w:fldCharType="separate"/>
          </w:r>
          <w:r>
            <w:rPr>
              <w:rFonts w:hint="eastAsia" w:eastAsia="仿宋"/>
              <w:kern w:val="2"/>
              <w:sz w:val="32"/>
              <w:szCs w:val="32"/>
              <w14:ligatures w14:val="standardContextual"/>
            </w:rPr>
            <w:t>（二）预期的经济效益、社会效益和生态效益</w:t>
          </w:r>
          <w:r>
            <w:rPr>
              <w:rFonts w:eastAsia="仿宋"/>
              <w:kern w:val="2"/>
              <w:sz w:val="32"/>
              <w:szCs w:val="32"/>
              <w14:ligatures w14:val="standardContextual"/>
            </w:rPr>
            <w:tab/>
          </w:r>
          <w:r>
            <w:rPr>
              <w:rFonts w:eastAsia="仿宋"/>
              <w:kern w:val="2"/>
              <w:sz w:val="32"/>
              <w:szCs w:val="32"/>
              <w14:ligatures w14:val="standardContextual"/>
            </w:rPr>
            <w:fldChar w:fldCharType="begin"/>
          </w:r>
          <w:r>
            <w:rPr>
              <w:rFonts w:eastAsia="仿宋"/>
              <w:kern w:val="2"/>
              <w:sz w:val="32"/>
              <w:szCs w:val="32"/>
              <w14:ligatures w14:val="standardContextual"/>
            </w:rPr>
            <w:instrText xml:space="preserve"> PAGEREF _Toc16242 \h </w:instrText>
          </w:r>
          <w:r>
            <w:rPr>
              <w:rFonts w:eastAsia="仿宋"/>
              <w:kern w:val="2"/>
              <w:sz w:val="32"/>
              <w:szCs w:val="32"/>
              <w14:ligatures w14:val="standardContextual"/>
            </w:rPr>
            <w:fldChar w:fldCharType="separate"/>
          </w:r>
          <w:r>
            <w:rPr>
              <w:rFonts w:eastAsia="仿宋"/>
              <w:kern w:val="2"/>
              <w:sz w:val="32"/>
              <w:szCs w:val="32"/>
              <w14:ligatures w14:val="standardContextual"/>
            </w:rPr>
            <w:t>13</w:t>
          </w:r>
          <w:r>
            <w:rPr>
              <w:rFonts w:eastAsia="仿宋"/>
              <w:kern w:val="2"/>
              <w:sz w:val="32"/>
              <w:szCs w:val="32"/>
              <w14:ligatures w14:val="standardContextual"/>
            </w:rPr>
            <w:fldChar w:fldCharType="end"/>
          </w:r>
          <w:r>
            <w:rPr>
              <w:rFonts w:eastAsia="仿宋"/>
              <w:kern w:val="2"/>
              <w:sz w:val="32"/>
              <w:szCs w:val="32"/>
              <w14:ligatures w14:val="standardContextual"/>
            </w:rPr>
            <w:fldChar w:fldCharType="end"/>
          </w:r>
        </w:p>
        <w:p w14:paraId="5A15A998">
          <w:pPr>
            <w:pStyle w:val="11"/>
            <w:tabs>
              <w:tab w:val="right" w:leader="dot" w:pos="8296"/>
            </w:tabs>
            <w:adjustRightInd w:val="0"/>
            <w:snapToGrid w:val="0"/>
            <w:spacing w:line="360" w:lineRule="auto"/>
            <w:jc w:val="left"/>
            <w:rPr>
              <w:rFonts w:eastAsia="仿宋"/>
              <w:kern w:val="2"/>
              <w:sz w:val="32"/>
              <w:szCs w:val="32"/>
              <w14:ligatures w14:val="standardContextual"/>
            </w:rPr>
          </w:pPr>
          <w:r>
            <w:fldChar w:fldCharType="begin"/>
          </w:r>
          <w:r>
            <w:instrText xml:space="preserve"> HYPERLINK \l "_Toc13853" </w:instrText>
          </w:r>
          <w:r>
            <w:fldChar w:fldCharType="separate"/>
          </w:r>
          <w:r>
            <w:rPr>
              <w:rFonts w:hint="eastAsia" w:eastAsia="仿宋"/>
              <w:kern w:val="2"/>
              <w:sz w:val="32"/>
              <w:szCs w:val="32"/>
              <w14:ligatures w14:val="standardContextual"/>
            </w:rPr>
            <w:t>四、与国际、国外同类标准技术内容的对比情况</w:t>
          </w:r>
          <w:r>
            <w:rPr>
              <w:rFonts w:eastAsia="仿宋"/>
              <w:kern w:val="2"/>
              <w:sz w:val="32"/>
              <w:szCs w:val="32"/>
              <w14:ligatures w14:val="standardContextual"/>
            </w:rPr>
            <w:tab/>
          </w:r>
          <w:r>
            <w:rPr>
              <w:rFonts w:eastAsia="仿宋"/>
              <w:kern w:val="2"/>
              <w:sz w:val="32"/>
              <w:szCs w:val="32"/>
              <w14:ligatures w14:val="standardContextual"/>
            </w:rPr>
            <w:fldChar w:fldCharType="begin"/>
          </w:r>
          <w:r>
            <w:rPr>
              <w:rFonts w:eastAsia="仿宋"/>
              <w:kern w:val="2"/>
              <w:sz w:val="32"/>
              <w:szCs w:val="32"/>
              <w14:ligatures w14:val="standardContextual"/>
            </w:rPr>
            <w:instrText xml:space="preserve"> PAGEREF _Toc13853 \h </w:instrText>
          </w:r>
          <w:r>
            <w:rPr>
              <w:rFonts w:eastAsia="仿宋"/>
              <w:kern w:val="2"/>
              <w:sz w:val="32"/>
              <w:szCs w:val="32"/>
              <w14:ligatures w14:val="standardContextual"/>
            </w:rPr>
            <w:fldChar w:fldCharType="separate"/>
          </w:r>
          <w:r>
            <w:rPr>
              <w:rFonts w:eastAsia="仿宋"/>
              <w:kern w:val="2"/>
              <w:sz w:val="32"/>
              <w:szCs w:val="32"/>
              <w14:ligatures w14:val="standardContextual"/>
            </w:rPr>
            <w:t>14</w:t>
          </w:r>
          <w:r>
            <w:rPr>
              <w:rFonts w:eastAsia="仿宋"/>
              <w:kern w:val="2"/>
              <w:sz w:val="32"/>
              <w:szCs w:val="32"/>
              <w14:ligatures w14:val="standardContextual"/>
            </w:rPr>
            <w:fldChar w:fldCharType="end"/>
          </w:r>
          <w:r>
            <w:rPr>
              <w:rFonts w:eastAsia="仿宋"/>
              <w:kern w:val="2"/>
              <w:sz w:val="32"/>
              <w:szCs w:val="32"/>
              <w14:ligatures w14:val="standardContextual"/>
            </w:rPr>
            <w:fldChar w:fldCharType="end"/>
          </w:r>
        </w:p>
        <w:p w14:paraId="0C180C35">
          <w:pPr>
            <w:pStyle w:val="11"/>
            <w:tabs>
              <w:tab w:val="right" w:leader="dot" w:pos="8296"/>
            </w:tabs>
            <w:adjustRightInd w:val="0"/>
            <w:snapToGrid w:val="0"/>
            <w:spacing w:line="360" w:lineRule="auto"/>
            <w:jc w:val="left"/>
            <w:rPr>
              <w:rFonts w:eastAsia="仿宋"/>
              <w:kern w:val="2"/>
              <w:sz w:val="32"/>
              <w:szCs w:val="32"/>
              <w14:ligatures w14:val="standardContextual"/>
            </w:rPr>
          </w:pPr>
          <w:r>
            <w:fldChar w:fldCharType="begin"/>
          </w:r>
          <w:r>
            <w:instrText xml:space="preserve"> HYPERLINK \l "_Toc17000" </w:instrText>
          </w:r>
          <w:r>
            <w:fldChar w:fldCharType="separate"/>
          </w:r>
          <w:r>
            <w:rPr>
              <w:rFonts w:hint="eastAsia" w:eastAsia="仿宋"/>
              <w:kern w:val="2"/>
              <w:sz w:val="32"/>
              <w:szCs w:val="32"/>
              <w14:ligatures w14:val="standardContextual"/>
            </w:rPr>
            <w:t>五、以国际标准为基础的起草情况，以及是否合规引用或者采用国际国外标准，并说明未采用国际标准的原因</w:t>
          </w:r>
          <w:r>
            <w:rPr>
              <w:rFonts w:eastAsia="仿宋"/>
              <w:kern w:val="2"/>
              <w:sz w:val="32"/>
              <w:szCs w:val="32"/>
              <w14:ligatures w14:val="standardContextual"/>
            </w:rPr>
            <w:tab/>
          </w:r>
          <w:r>
            <w:rPr>
              <w:rFonts w:eastAsia="仿宋"/>
              <w:kern w:val="2"/>
              <w:sz w:val="32"/>
              <w:szCs w:val="32"/>
              <w14:ligatures w14:val="standardContextual"/>
            </w:rPr>
            <w:fldChar w:fldCharType="begin"/>
          </w:r>
          <w:r>
            <w:rPr>
              <w:rFonts w:eastAsia="仿宋"/>
              <w:kern w:val="2"/>
              <w:sz w:val="32"/>
              <w:szCs w:val="32"/>
              <w14:ligatures w14:val="standardContextual"/>
            </w:rPr>
            <w:instrText xml:space="preserve"> PAGEREF _Toc17000 \h </w:instrText>
          </w:r>
          <w:r>
            <w:rPr>
              <w:rFonts w:eastAsia="仿宋"/>
              <w:kern w:val="2"/>
              <w:sz w:val="32"/>
              <w:szCs w:val="32"/>
              <w14:ligatures w14:val="standardContextual"/>
            </w:rPr>
            <w:fldChar w:fldCharType="separate"/>
          </w:r>
          <w:r>
            <w:rPr>
              <w:rFonts w:eastAsia="仿宋"/>
              <w:kern w:val="2"/>
              <w:sz w:val="32"/>
              <w:szCs w:val="32"/>
              <w14:ligatures w14:val="standardContextual"/>
            </w:rPr>
            <w:t>14</w:t>
          </w:r>
          <w:r>
            <w:rPr>
              <w:rFonts w:eastAsia="仿宋"/>
              <w:kern w:val="2"/>
              <w:sz w:val="32"/>
              <w:szCs w:val="32"/>
              <w14:ligatures w14:val="standardContextual"/>
            </w:rPr>
            <w:fldChar w:fldCharType="end"/>
          </w:r>
          <w:r>
            <w:rPr>
              <w:rFonts w:eastAsia="仿宋"/>
              <w:kern w:val="2"/>
              <w:sz w:val="32"/>
              <w:szCs w:val="32"/>
              <w14:ligatures w14:val="standardContextual"/>
            </w:rPr>
            <w:fldChar w:fldCharType="end"/>
          </w:r>
        </w:p>
        <w:p w14:paraId="1198F485">
          <w:pPr>
            <w:pStyle w:val="11"/>
            <w:tabs>
              <w:tab w:val="right" w:leader="dot" w:pos="8296"/>
            </w:tabs>
            <w:adjustRightInd w:val="0"/>
            <w:snapToGrid w:val="0"/>
            <w:spacing w:line="360" w:lineRule="auto"/>
            <w:jc w:val="left"/>
            <w:rPr>
              <w:rFonts w:eastAsia="仿宋"/>
              <w:kern w:val="2"/>
              <w:sz w:val="32"/>
              <w:szCs w:val="32"/>
              <w14:ligatures w14:val="standardContextual"/>
            </w:rPr>
          </w:pPr>
          <w:r>
            <w:fldChar w:fldCharType="begin"/>
          </w:r>
          <w:r>
            <w:instrText xml:space="preserve"> HYPERLINK \l "_Toc27275" </w:instrText>
          </w:r>
          <w:r>
            <w:fldChar w:fldCharType="separate"/>
          </w:r>
          <w:r>
            <w:rPr>
              <w:rFonts w:hint="eastAsia" w:eastAsia="仿宋"/>
              <w:kern w:val="2"/>
              <w:sz w:val="32"/>
              <w:szCs w:val="32"/>
              <w14:ligatures w14:val="standardContextual"/>
            </w:rPr>
            <w:t>六、与有关法律、行政法规及相关标准的关系</w:t>
          </w:r>
          <w:r>
            <w:rPr>
              <w:rFonts w:eastAsia="仿宋"/>
              <w:kern w:val="2"/>
              <w:sz w:val="32"/>
              <w:szCs w:val="32"/>
              <w14:ligatures w14:val="standardContextual"/>
            </w:rPr>
            <w:tab/>
          </w:r>
          <w:r>
            <w:rPr>
              <w:rFonts w:eastAsia="仿宋"/>
              <w:kern w:val="2"/>
              <w:sz w:val="32"/>
              <w:szCs w:val="32"/>
              <w14:ligatures w14:val="standardContextual"/>
            </w:rPr>
            <w:fldChar w:fldCharType="begin"/>
          </w:r>
          <w:r>
            <w:rPr>
              <w:rFonts w:eastAsia="仿宋"/>
              <w:kern w:val="2"/>
              <w:sz w:val="32"/>
              <w:szCs w:val="32"/>
              <w14:ligatures w14:val="standardContextual"/>
            </w:rPr>
            <w:instrText xml:space="preserve"> PAGEREF _Toc27275 \h </w:instrText>
          </w:r>
          <w:r>
            <w:rPr>
              <w:rFonts w:eastAsia="仿宋"/>
              <w:kern w:val="2"/>
              <w:sz w:val="32"/>
              <w:szCs w:val="32"/>
              <w14:ligatures w14:val="standardContextual"/>
            </w:rPr>
            <w:fldChar w:fldCharType="separate"/>
          </w:r>
          <w:r>
            <w:rPr>
              <w:rFonts w:eastAsia="仿宋"/>
              <w:kern w:val="2"/>
              <w:sz w:val="32"/>
              <w:szCs w:val="32"/>
              <w14:ligatures w14:val="standardContextual"/>
            </w:rPr>
            <w:t>15</w:t>
          </w:r>
          <w:r>
            <w:rPr>
              <w:rFonts w:eastAsia="仿宋"/>
              <w:kern w:val="2"/>
              <w:sz w:val="32"/>
              <w:szCs w:val="32"/>
              <w14:ligatures w14:val="standardContextual"/>
            </w:rPr>
            <w:fldChar w:fldCharType="end"/>
          </w:r>
          <w:r>
            <w:rPr>
              <w:rFonts w:eastAsia="仿宋"/>
              <w:kern w:val="2"/>
              <w:sz w:val="32"/>
              <w:szCs w:val="32"/>
              <w14:ligatures w14:val="standardContextual"/>
            </w:rPr>
            <w:fldChar w:fldCharType="end"/>
          </w:r>
        </w:p>
        <w:p w14:paraId="33E94CB0">
          <w:pPr>
            <w:pStyle w:val="11"/>
            <w:tabs>
              <w:tab w:val="right" w:leader="dot" w:pos="8296"/>
            </w:tabs>
            <w:adjustRightInd w:val="0"/>
            <w:snapToGrid w:val="0"/>
            <w:spacing w:line="360" w:lineRule="auto"/>
            <w:jc w:val="left"/>
            <w:rPr>
              <w:rFonts w:eastAsia="仿宋"/>
              <w:kern w:val="2"/>
              <w:sz w:val="32"/>
              <w:szCs w:val="32"/>
              <w14:ligatures w14:val="standardContextual"/>
            </w:rPr>
          </w:pPr>
          <w:r>
            <w:fldChar w:fldCharType="begin"/>
          </w:r>
          <w:r>
            <w:instrText xml:space="preserve"> HYPERLINK \l "_Toc28999" </w:instrText>
          </w:r>
          <w:r>
            <w:fldChar w:fldCharType="separate"/>
          </w:r>
          <w:r>
            <w:rPr>
              <w:rFonts w:hint="eastAsia" w:eastAsia="仿宋"/>
              <w:kern w:val="2"/>
              <w:sz w:val="32"/>
              <w:szCs w:val="32"/>
              <w14:ligatures w14:val="standardContextual"/>
            </w:rPr>
            <w:t>七、重大分歧意见的处理经过和依据</w:t>
          </w:r>
          <w:r>
            <w:rPr>
              <w:rFonts w:eastAsia="仿宋"/>
              <w:kern w:val="2"/>
              <w:sz w:val="32"/>
              <w:szCs w:val="32"/>
              <w14:ligatures w14:val="standardContextual"/>
            </w:rPr>
            <w:tab/>
          </w:r>
          <w:r>
            <w:rPr>
              <w:rFonts w:eastAsia="仿宋"/>
              <w:kern w:val="2"/>
              <w:sz w:val="32"/>
              <w:szCs w:val="32"/>
              <w14:ligatures w14:val="standardContextual"/>
            </w:rPr>
            <w:fldChar w:fldCharType="begin"/>
          </w:r>
          <w:r>
            <w:rPr>
              <w:rFonts w:eastAsia="仿宋"/>
              <w:kern w:val="2"/>
              <w:sz w:val="32"/>
              <w:szCs w:val="32"/>
              <w14:ligatures w14:val="standardContextual"/>
            </w:rPr>
            <w:instrText xml:space="preserve"> PAGEREF _Toc28999 \h </w:instrText>
          </w:r>
          <w:r>
            <w:rPr>
              <w:rFonts w:eastAsia="仿宋"/>
              <w:kern w:val="2"/>
              <w:sz w:val="32"/>
              <w:szCs w:val="32"/>
              <w14:ligatures w14:val="standardContextual"/>
            </w:rPr>
            <w:fldChar w:fldCharType="separate"/>
          </w:r>
          <w:r>
            <w:rPr>
              <w:rFonts w:eastAsia="仿宋"/>
              <w:kern w:val="2"/>
              <w:sz w:val="32"/>
              <w:szCs w:val="32"/>
              <w14:ligatures w14:val="standardContextual"/>
            </w:rPr>
            <w:t>16</w:t>
          </w:r>
          <w:r>
            <w:rPr>
              <w:rFonts w:eastAsia="仿宋"/>
              <w:kern w:val="2"/>
              <w:sz w:val="32"/>
              <w:szCs w:val="32"/>
              <w14:ligatures w14:val="standardContextual"/>
            </w:rPr>
            <w:fldChar w:fldCharType="end"/>
          </w:r>
          <w:r>
            <w:rPr>
              <w:rFonts w:eastAsia="仿宋"/>
              <w:kern w:val="2"/>
              <w:sz w:val="32"/>
              <w:szCs w:val="32"/>
              <w14:ligatures w14:val="standardContextual"/>
            </w:rPr>
            <w:fldChar w:fldCharType="end"/>
          </w:r>
        </w:p>
        <w:p w14:paraId="182FC286">
          <w:pPr>
            <w:pStyle w:val="11"/>
            <w:tabs>
              <w:tab w:val="right" w:leader="dot" w:pos="8296"/>
            </w:tabs>
            <w:adjustRightInd w:val="0"/>
            <w:snapToGrid w:val="0"/>
            <w:spacing w:line="360" w:lineRule="auto"/>
            <w:jc w:val="left"/>
            <w:rPr>
              <w:rFonts w:eastAsia="仿宋"/>
              <w:kern w:val="2"/>
              <w:sz w:val="32"/>
              <w:szCs w:val="32"/>
              <w14:ligatures w14:val="standardContextual"/>
            </w:rPr>
          </w:pPr>
          <w:r>
            <w:fldChar w:fldCharType="begin"/>
          </w:r>
          <w:r>
            <w:instrText xml:space="preserve"> HYPERLINK \l "_Toc27926" </w:instrText>
          </w:r>
          <w:r>
            <w:fldChar w:fldCharType="separate"/>
          </w:r>
          <w:r>
            <w:rPr>
              <w:rFonts w:hint="eastAsia" w:eastAsia="仿宋"/>
              <w:kern w:val="2"/>
              <w:sz w:val="32"/>
              <w:szCs w:val="32"/>
              <w14:ligatures w14:val="standardContextual"/>
            </w:rPr>
            <w:t>八、涉及专利的有关说明</w:t>
          </w:r>
          <w:r>
            <w:rPr>
              <w:rFonts w:eastAsia="仿宋"/>
              <w:kern w:val="2"/>
              <w:sz w:val="32"/>
              <w:szCs w:val="32"/>
              <w14:ligatures w14:val="standardContextual"/>
            </w:rPr>
            <w:tab/>
          </w:r>
          <w:r>
            <w:rPr>
              <w:rFonts w:eastAsia="仿宋"/>
              <w:kern w:val="2"/>
              <w:sz w:val="32"/>
              <w:szCs w:val="32"/>
              <w14:ligatures w14:val="standardContextual"/>
            </w:rPr>
            <w:fldChar w:fldCharType="begin"/>
          </w:r>
          <w:r>
            <w:rPr>
              <w:rFonts w:eastAsia="仿宋"/>
              <w:kern w:val="2"/>
              <w:sz w:val="32"/>
              <w:szCs w:val="32"/>
              <w14:ligatures w14:val="standardContextual"/>
            </w:rPr>
            <w:instrText xml:space="preserve"> PAGEREF _Toc27926 \h </w:instrText>
          </w:r>
          <w:r>
            <w:rPr>
              <w:rFonts w:eastAsia="仿宋"/>
              <w:kern w:val="2"/>
              <w:sz w:val="32"/>
              <w:szCs w:val="32"/>
              <w14:ligatures w14:val="standardContextual"/>
            </w:rPr>
            <w:fldChar w:fldCharType="separate"/>
          </w:r>
          <w:r>
            <w:rPr>
              <w:rFonts w:eastAsia="仿宋"/>
              <w:kern w:val="2"/>
              <w:sz w:val="32"/>
              <w:szCs w:val="32"/>
              <w14:ligatures w14:val="standardContextual"/>
            </w:rPr>
            <w:t>16</w:t>
          </w:r>
          <w:r>
            <w:rPr>
              <w:rFonts w:eastAsia="仿宋"/>
              <w:kern w:val="2"/>
              <w:sz w:val="32"/>
              <w:szCs w:val="32"/>
              <w14:ligatures w14:val="standardContextual"/>
            </w:rPr>
            <w:fldChar w:fldCharType="end"/>
          </w:r>
          <w:r>
            <w:rPr>
              <w:rFonts w:eastAsia="仿宋"/>
              <w:kern w:val="2"/>
              <w:sz w:val="32"/>
              <w:szCs w:val="32"/>
              <w14:ligatures w14:val="standardContextual"/>
            </w:rPr>
            <w:fldChar w:fldCharType="end"/>
          </w:r>
        </w:p>
        <w:p w14:paraId="7B464633">
          <w:pPr>
            <w:pStyle w:val="11"/>
            <w:tabs>
              <w:tab w:val="right" w:leader="dot" w:pos="8296"/>
            </w:tabs>
            <w:adjustRightInd w:val="0"/>
            <w:snapToGrid w:val="0"/>
            <w:spacing w:line="360" w:lineRule="auto"/>
            <w:jc w:val="left"/>
            <w:rPr>
              <w:rFonts w:eastAsia="仿宋"/>
              <w:kern w:val="2"/>
              <w:sz w:val="32"/>
              <w:szCs w:val="32"/>
              <w14:ligatures w14:val="standardContextual"/>
            </w:rPr>
          </w:pPr>
          <w:r>
            <w:fldChar w:fldCharType="begin"/>
          </w:r>
          <w:r>
            <w:instrText xml:space="preserve"> HYPERLINK \l "_Toc24916" </w:instrText>
          </w:r>
          <w:r>
            <w:fldChar w:fldCharType="separate"/>
          </w:r>
          <w:r>
            <w:rPr>
              <w:rFonts w:hint="eastAsia" w:eastAsia="仿宋"/>
              <w:kern w:val="2"/>
              <w:sz w:val="32"/>
              <w:szCs w:val="32"/>
              <w14:ligatures w14:val="standardContextual"/>
            </w:rPr>
            <w:t>九、实施标准的要求，以及组织措施、技术措施、过渡期和实施日期的建议等措施建议</w:t>
          </w:r>
          <w:r>
            <w:rPr>
              <w:rFonts w:eastAsia="仿宋"/>
              <w:kern w:val="2"/>
              <w:sz w:val="32"/>
              <w:szCs w:val="32"/>
              <w14:ligatures w14:val="standardContextual"/>
            </w:rPr>
            <w:tab/>
          </w:r>
          <w:r>
            <w:rPr>
              <w:rFonts w:eastAsia="仿宋"/>
              <w:kern w:val="2"/>
              <w:sz w:val="32"/>
              <w:szCs w:val="32"/>
              <w14:ligatures w14:val="standardContextual"/>
            </w:rPr>
            <w:fldChar w:fldCharType="begin"/>
          </w:r>
          <w:r>
            <w:rPr>
              <w:rFonts w:eastAsia="仿宋"/>
              <w:kern w:val="2"/>
              <w:sz w:val="32"/>
              <w:szCs w:val="32"/>
              <w14:ligatures w14:val="standardContextual"/>
            </w:rPr>
            <w:instrText xml:space="preserve"> PAGEREF _Toc24916 \h </w:instrText>
          </w:r>
          <w:r>
            <w:rPr>
              <w:rFonts w:eastAsia="仿宋"/>
              <w:kern w:val="2"/>
              <w:sz w:val="32"/>
              <w:szCs w:val="32"/>
              <w14:ligatures w14:val="standardContextual"/>
            </w:rPr>
            <w:fldChar w:fldCharType="separate"/>
          </w:r>
          <w:r>
            <w:rPr>
              <w:rFonts w:eastAsia="仿宋"/>
              <w:kern w:val="2"/>
              <w:sz w:val="32"/>
              <w:szCs w:val="32"/>
              <w14:ligatures w14:val="standardContextual"/>
            </w:rPr>
            <w:t>16</w:t>
          </w:r>
          <w:r>
            <w:rPr>
              <w:rFonts w:eastAsia="仿宋"/>
              <w:kern w:val="2"/>
              <w:sz w:val="32"/>
              <w:szCs w:val="32"/>
              <w14:ligatures w14:val="standardContextual"/>
            </w:rPr>
            <w:fldChar w:fldCharType="end"/>
          </w:r>
          <w:r>
            <w:rPr>
              <w:rFonts w:eastAsia="仿宋"/>
              <w:kern w:val="2"/>
              <w:sz w:val="32"/>
              <w:szCs w:val="32"/>
              <w14:ligatures w14:val="standardContextual"/>
            </w:rPr>
            <w:fldChar w:fldCharType="end"/>
          </w:r>
        </w:p>
        <w:p w14:paraId="52000338">
          <w:pPr>
            <w:pStyle w:val="11"/>
            <w:tabs>
              <w:tab w:val="right" w:leader="dot" w:pos="8296"/>
            </w:tabs>
            <w:adjustRightInd w:val="0"/>
            <w:snapToGrid w:val="0"/>
            <w:spacing w:line="360" w:lineRule="auto"/>
            <w:jc w:val="left"/>
          </w:pPr>
          <w:r>
            <w:fldChar w:fldCharType="begin"/>
          </w:r>
          <w:r>
            <w:instrText xml:space="preserve"> HYPERLINK \l "_Toc18061" </w:instrText>
          </w:r>
          <w:r>
            <w:fldChar w:fldCharType="separate"/>
          </w:r>
          <w:r>
            <w:rPr>
              <w:rFonts w:hint="eastAsia" w:eastAsia="仿宋"/>
              <w:kern w:val="2"/>
              <w:sz w:val="32"/>
              <w:szCs w:val="32"/>
              <w14:ligatures w14:val="standardContextual"/>
            </w:rPr>
            <w:t>十、其他应当说明的事项</w:t>
          </w:r>
          <w:r>
            <w:rPr>
              <w:rFonts w:eastAsia="仿宋"/>
              <w:kern w:val="2"/>
              <w:sz w:val="32"/>
              <w:szCs w:val="32"/>
              <w14:ligatures w14:val="standardContextual"/>
            </w:rPr>
            <w:tab/>
          </w:r>
          <w:r>
            <w:rPr>
              <w:rFonts w:eastAsia="仿宋"/>
              <w:kern w:val="2"/>
              <w:sz w:val="32"/>
              <w:szCs w:val="32"/>
              <w14:ligatures w14:val="standardContextual"/>
            </w:rPr>
            <w:fldChar w:fldCharType="begin"/>
          </w:r>
          <w:r>
            <w:rPr>
              <w:rFonts w:eastAsia="仿宋"/>
              <w:kern w:val="2"/>
              <w:sz w:val="32"/>
              <w:szCs w:val="32"/>
              <w14:ligatures w14:val="standardContextual"/>
            </w:rPr>
            <w:instrText xml:space="preserve"> PAGEREF _Toc18061 \h </w:instrText>
          </w:r>
          <w:r>
            <w:rPr>
              <w:rFonts w:eastAsia="仿宋"/>
              <w:kern w:val="2"/>
              <w:sz w:val="32"/>
              <w:szCs w:val="32"/>
              <w14:ligatures w14:val="standardContextual"/>
            </w:rPr>
            <w:fldChar w:fldCharType="separate"/>
          </w:r>
          <w:r>
            <w:rPr>
              <w:rFonts w:eastAsia="仿宋"/>
              <w:kern w:val="2"/>
              <w:sz w:val="32"/>
              <w:szCs w:val="32"/>
              <w14:ligatures w14:val="standardContextual"/>
            </w:rPr>
            <w:t>17</w:t>
          </w:r>
          <w:r>
            <w:rPr>
              <w:rFonts w:eastAsia="仿宋"/>
              <w:kern w:val="2"/>
              <w:sz w:val="32"/>
              <w:szCs w:val="32"/>
              <w14:ligatures w14:val="standardContextual"/>
            </w:rPr>
            <w:fldChar w:fldCharType="end"/>
          </w:r>
          <w:r>
            <w:rPr>
              <w:rFonts w:eastAsia="仿宋"/>
              <w:kern w:val="2"/>
              <w:sz w:val="32"/>
              <w:szCs w:val="32"/>
              <w14:ligatures w14:val="standardContextual"/>
            </w:rPr>
            <w:fldChar w:fldCharType="end"/>
          </w:r>
        </w:p>
        <w:p w14:paraId="65885C60">
          <w:r>
            <w:fldChar w:fldCharType="end"/>
          </w:r>
        </w:p>
      </w:sdtContent>
    </w:sdt>
    <w:p w14:paraId="3B4CB155"/>
    <w:p w14:paraId="083BD749">
      <w:r>
        <w:br w:type="page"/>
      </w:r>
    </w:p>
    <w:p w14:paraId="7ABEB0FB">
      <w:pPr>
        <w:pStyle w:val="2"/>
        <w:keepNext/>
        <w:keepLines/>
        <w:adjustRightInd w:val="0"/>
        <w:snapToGrid w:val="0"/>
        <w:spacing w:before="120" w:beforeLines="50" w:after="120" w:afterLines="50"/>
      </w:pPr>
      <w:bookmarkStart w:id="0" w:name="_Toc26204"/>
      <w:r>
        <w:rPr>
          <w:rFonts w:hint="eastAsia" w:eastAsia="黑体"/>
          <w:kern w:val="44"/>
          <w:sz w:val="32"/>
          <w:szCs w:val="44"/>
          <w14:ligatures w14:val="standardContextual"/>
        </w:rPr>
        <w:t>一、工作简况</w:t>
      </w:r>
      <w:bookmarkEnd w:id="0"/>
    </w:p>
    <w:p w14:paraId="0098867F">
      <w:pPr>
        <w:adjustRightInd w:val="0"/>
        <w:snapToGrid w:val="0"/>
        <w:spacing w:before="120" w:beforeLines="50" w:after="120" w:afterLines="50" w:line="360" w:lineRule="auto"/>
        <w:ind w:firstLine="643" w:firstLineChars="200"/>
        <w:outlineLvl w:val="1"/>
      </w:pPr>
      <w:bookmarkStart w:id="1" w:name="_Toc25062"/>
      <w:r>
        <w:rPr>
          <w:rFonts w:hint="eastAsia" w:eastAsia="楷体" w:cs="楷体"/>
          <w:b/>
          <w:bCs/>
          <w:kern w:val="2"/>
          <w:sz w:val="32"/>
          <w:szCs w:val="32"/>
          <w14:ligatures w14:val="standardContextual"/>
        </w:rPr>
        <w:t>（一）任务来源</w:t>
      </w:r>
      <w:bookmarkEnd w:id="1"/>
    </w:p>
    <w:p w14:paraId="766C6C9B">
      <w:pPr>
        <w:adjustRightInd w:val="0"/>
        <w:snapToGrid w:val="0"/>
        <w:spacing w:line="360" w:lineRule="auto"/>
        <w:ind w:firstLine="640" w:firstLineChars="200"/>
      </w:pPr>
      <w:r>
        <w:rPr>
          <w:rFonts w:hint="eastAsia" w:eastAsia="仿宋_GB2312"/>
          <w:kern w:val="2"/>
          <w:sz w:val="32"/>
          <w:szCs w:val="32"/>
          <w14:ligatures w14:val="standardContextual"/>
        </w:rPr>
        <w:t>本文件属于《船用燃料供应电子单证技术规范》系列团体标准（T/CBS）的第2部分。本文件与系列标准第1部分（通用要求）、第3部分（</w:t>
      </w:r>
      <w:r>
        <w:rPr>
          <w:rFonts w:eastAsia="仿宋_GB2312"/>
          <w:kern w:val="2"/>
          <w:sz w:val="32"/>
          <w:szCs w:val="32"/>
          <w14:ligatures w14:val="standardContextual"/>
        </w:rPr>
        <w:t>辅助单据基本信息要求</w:t>
      </w:r>
      <w:r>
        <w:rPr>
          <w:rFonts w:hint="eastAsia" w:eastAsia="仿宋_GB2312"/>
          <w:kern w:val="2"/>
          <w:sz w:val="32"/>
          <w:szCs w:val="32"/>
          <w14:ligatures w14:val="standardContextual"/>
        </w:rPr>
        <w:t>）协同，共同构建立体化、全流程的船用燃料供应电子单证技术体系。</w:t>
      </w:r>
    </w:p>
    <w:p w14:paraId="388F7889">
      <w:pPr>
        <w:adjustRightInd w:val="0"/>
        <w:snapToGrid w:val="0"/>
        <w:spacing w:before="120" w:beforeLines="50" w:after="120" w:afterLines="50" w:line="360" w:lineRule="auto"/>
        <w:ind w:firstLine="643" w:firstLineChars="200"/>
        <w:outlineLvl w:val="1"/>
      </w:pPr>
      <w:bookmarkStart w:id="2" w:name="_Toc13386"/>
      <w:r>
        <w:rPr>
          <w:rFonts w:hint="eastAsia" w:eastAsia="楷体" w:cs="楷体"/>
          <w:b/>
          <w:bCs/>
          <w:kern w:val="2"/>
          <w:sz w:val="32"/>
          <w:szCs w:val="32"/>
          <w14:ligatures w14:val="standardContextual"/>
        </w:rPr>
        <w:t>（二）制定背景</w:t>
      </w:r>
      <w:bookmarkEnd w:id="2"/>
    </w:p>
    <w:p w14:paraId="730FF94E">
      <w:pPr>
        <w:adjustRightInd w:val="0"/>
        <w:snapToGrid w:val="0"/>
        <w:spacing w:line="360" w:lineRule="auto"/>
        <w:ind w:firstLine="640" w:firstLineChars="200"/>
        <w:rPr>
          <w:rFonts w:eastAsia="仿宋_GB2312"/>
          <w:kern w:val="2"/>
          <w:sz w:val="32"/>
          <w:szCs w:val="32"/>
          <w14:ligatures w14:val="standardContextual"/>
        </w:rPr>
      </w:pPr>
      <w:r>
        <w:rPr>
          <w:rFonts w:hint="eastAsia" w:eastAsia="仿宋_GB2312"/>
          <w:kern w:val="2"/>
          <w:sz w:val="32"/>
          <w:szCs w:val="32"/>
          <w14:ligatures w14:val="standardContextual"/>
        </w:rPr>
        <w:t>2021年7月1日起，《船舶供受燃油管理办法》正式施行，明确了船舶燃油供受各环节的管理要求，确立了电子单证在船用燃料供受过程中的法定地位。在此背景下，欧盟通过《Directive (EU) 2023/959》将5000总吨以上海运船舶纳入EU ETS，并按配额履约；同时通过《Regulation (EU) 2023/1805》（FuelEU Maritime）对到港船舶能源设定全生命周期温室气体强度上限，美国、新加坡等港口国家与地区也相继推出低硫燃油强制令与碳强度规管，船用燃料的碳足迹、全生命周期温室气体强度与可追溯性要求成为国际航运贸易的核心合规要素。</w:t>
      </w:r>
    </w:p>
    <w:p w14:paraId="46DC27DC">
      <w:pPr>
        <w:adjustRightInd w:val="0"/>
        <w:snapToGrid w:val="0"/>
        <w:spacing w:line="360" w:lineRule="auto"/>
        <w:ind w:firstLine="640" w:firstLineChars="200"/>
        <w:rPr>
          <w:rFonts w:eastAsia="仿宋_GB2312"/>
          <w:kern w:val="2"/>
          <w:sz w:val="32"/>
          <w:szCs w:val="32"/>
          <w14:ligatures w14:val="standardContextual"/>
        </w:rPr>
      </w:pPr>
      <w:r>
        <w:rPr>
          <w:rFonts w:hint="eastAsia" w:eastAsia="仿宋_GB2312"/>
          <w:kern w:val="2"/>
          <w:sz w:val="32"/>
          <w:szCs w:val="32"/>
          <w14:ligatures w14:val="standardContextual"/>
        </w:rPr>
        <w:t>国内层面，我国作为国际航运大国，正稳步推进航运强国与交通强国建设，交通运输部、生态环境部等部门持续完善船舶大气污染物排放控制区与船用燃料质量管理政策，推动船用燃料供应数字化、电子化、规范化。当前，船用燃料供受仍存在纸质单证流转环节多、易篡改、不可追溯、跨系统对接不统一、与海关及监管部门数据互通不畅等问题，导致燃料碳足迹核算与可持续燃料认定缺乏统一、可靠的数据基础，严重影响绿色燃料的国际互认与价值兑现。</w:t>
      </w:r>
    </w:p>
    <w:p w14:paraId="06F20CF3">
      <w:pPr>
        <w:adjustRightInd w:val="0"/>
        <w:snapToGrid w:val="0"/>
        <w:spacing w:line="360" w:lineRule="auto"/>
        <w:ind w:firstLine="640" w:firstLineChars="200"/>
        <w:rPr>
          <w:rFonts w:eastAsia="仿宋_GB2312"/>
          <w:kern w:val="2"/>
          <w:sz w:val="32"/>
          <w:szCs w:val="32"/>
          <w14:ligatures w14:val="standardContextual"/>
        </w:rPr>
      </w:pPr>
      <w:r>
        <w:rPr>
          <w:rFonts w:hint="eastAsia" w:eastAsia="仿宋_GB2312"/>
          <w:kern w:val="2"/>
          <w:sz w:val="32"/>
          <w:szCs w:val="32"/>
          <w14:ligatures w14:val="standardContextual"/>
        </w:rPr>
        <w:t>与此同时，随着低硫燃料油（LSFO）、生物柴油等清洁燃料应用规模扩大，供油主体需依据船舶、港口与监管要求，提供合规、完整、可核查的燃油供应信息，而配套的信息平台与数据接口尚缺乏统一的技术规范，各参与方系统各自为政、标准不一，难以实现互联互通与监管协同。</w:t>
      </w:r>
    </w:p>
    <w:p w14:paraId="0EE77A95">
      <w:pPr>
        <w:adjustRightInd w:val="0"/>
        <w:snapToGrid w:val="0"/>
        <w:spacing w:line="360" w:lineRule="auto"/>
        <w:ind w:firstLine="640" w:firstLineChars="200"/>
      </w:pPr>
      <w:r>
        <w:rPr>
          <w:rFonts w:hint="eastAsia" w:eastAsia="仿宋_GB2312"/>
          <w:kern w:val="2"/>
          <w:sz w:val="32"/>
          <w:szCs w:val="32"/>
          <w14:ligatures w14:val="standardContextual"/>
        </w:rPr>
        <w:t>综上，制定本文件具有迫切的现实意义与战略价值：一是对接国际海事治理与绿色燃料规则，亟需建立统一的电子单证信息平台与数据接口技术规范，为船舶清洁燃料的国际合规与碳足迹核算提供数据支撑；二是解决国内船用燃料单证流转纸质化、不可追溯的痛点，以标准化信息平台打通供应链各参与方与监管部门的系统互联；三是与系列标准第1、3部分协同，构建覆盖船用燃料供受全链路的电子单证标准体系，助力我国航运绿色低碳转型并提升在国际海事标准制定中的话语权。</w:t>
      </w:r>
    </w:p>
    <w:p w14:paraId="6156515C">
      <w:pPr>
        <w:adjustRightInd w:val="0"/>
        <w:snapToGrid w:val="0"/>
        <w:spacing w:before="120" w:beforeLines="50" w:after="120" w:afterLines="50" w:line="360" w:lineRule="auto"/>
        <w:ind w:firstLine="643" w:firstLineChars="200"/>
        <w:outlineLvl w:val="1"/>
      </w:pPr>
      <w:bookmarkStart w:id="3" w:name="_Toc28874"/>
      <w:r>
        <w:rPr>
          <w:rFonts w:hint="eastAsia" w:eastAsia="楷体" w:cs="楷体"/>
          <w:b/>
          <w:bCs/>
          <w:kern w:val="2"/>
          <w:sz w:val="32"/>
          <w:szCs w:val="32"/>
          <w14:ligatures w14:val="standardContextual"/>
        </w:rPr>
        <w:t>（三）起草过程</w:t>
      </w:r>
      <w:bookmarkEnd w:id="3"/>
    </w:p>
    <w:p w14:paraId="477C2F35">
      <w:pPr>
        <w:adjustRightInd w:val="0"/>
        <w:snapToGrid w:val="0"/>
        <w:spacing w:line="360" w:lineRule="auto"/>
        <w:ind w:firstLine="640" w:firstLineChars="200"/>
        <w:rPr>
          <w:rFonts w:eastAsia="仿宋_GB2312"/>
          <w:kern w:val="2"/>
          <w:sz w:val="32"/>
          <w:szCs w:val="32"/>
          <w14:ligatures w14:val="standardContextual"/>
        </w:rPr>
      </w:pPr>
      <w:r>
        <w:rPr>
          <w:rFonts w:hint="eastAsia" w:eastAsia="仿宋_GB2312"/>
          <w:kern w:val="2"/>
          <w:sz w:val="32"/>
          <w:szCs w:val="32"/>
          <w14:ligatures w14:val="standardContextual"/>
        </w:rPr>
        <w:t>本文件制定由中国标准化协会船舶燃料供应分会归口，联合上海中船燃石油有限公司、中国船燃燃料有限责任有限公司、上海海事大学、中远海运科技股份有限公司、中石油炼油特色产品有限公司、中华人民共和国上海海事局、临港新片区管委会、上海通银石油化工有限公司、南京金源船务实业有限公司、恩德斯豪斯（中国）自动化有限公司、中国船东协会等，组织吸收科研、生产、供应、检验、信息化等方面的专家和技术人员共同完成。主要起草过程如下：</w:t>
      </w:r>
    </w:p>
    <w:p w14:paraId="022BD69B">
      <w:pPr>
        <w:adjustRightInd w:val="0"/>
        <w:snapToGrid w:val="0"/>
        <w:spacing w:line="360" w:lineRule="auto"/>
        <w:ind w:firstLine="640" w:firstLineChars="200"/>
        <w:rPr>
          <w:rFonts w:eastAsia="仿宋_GB2312"/>
          <w:kern w:val="2"/>
          <w:sz w:val="32"/>
          <w:szCs w:val="32"/>
          <w14:ligatures w14:val="standardContextual"/>
        </w:rPr>
      </w:pPr>
      <w:bookmarkStart w:id="4" w:name="_Toc22577"/>
      <w:r>
        <w:rPr>
          <w:rFonts w:hint="eastAsia" w:eastAsia="仿宋_GB2312"/>
          <w:kern w:val="2"/>
          <w:sz w:val="32"/>
          <w:szCs w:val="32"/>
          <w14:ligatures w14:val="standardContextual"/>
        </w:rPr>
        <w:t>2026年1月～3月，开展前期调研与资料收集。编制组系统梳理国内外船用燃料供应单证管理制度、IMO与ISO相关标准、GB/T 25346-2020等国内标准，调研供油企业、航运企业、港口及海关、海事监管部门在燃料供应单证管理方面的业务现状与痛点，完成基础资料收集。</w:t>
      </w:r>
    </w:p>
    <w:p w14:paraId="66D49D52">
      <w:pPr>
        <w:adjustRightInd w:val="0"/>
        <w:snapToGrid w:val="0"/>
        <w:spacing w:line="360" w:lineRule="auto"/>
        <w:ind w:firstLine="640" w:firstLineChars="200"/>
        <w:rPr>
          <w:rFonts w:eastAsia="仿宋_GB2312"/>
          <w:kern w:val="2"/>
          <w:sz w:val="32"/>
          <w:szCs w:val="32"/>
          <w14:ligatures w14:val="standardContextual"/>
        </w:rPr>
      </w:pPr>
      <w:r>
        <w:rPr>
          <w:rFonts w:hint="eastAsia" w:eastAsia="仿宋_GB2312"/>
          <w:kern w:val="2"/>
          <w:sz w:val="32"/>
          <w:szCs w:val="32"/>
          <w14:ligatures w14:val="standardContextual"/>
        </w:rPr>
        <w:t>2026年4月，确定研究方案。编制组在草案基础上明确以三元属性、一般原则、全流程管理、特殊场景与争议处置为主线的技术路线，针对电子签名、登记存证、离线应急等关键争议内容开展专项论证，形成研究方案。</w:t>
      </w:r>
    </w:p>
    <w:p w14:paraId="05A448A8">
      <w:pPr>
        <w:adjustRightInd w:val="0"/>
        <w:snapToGrid w:val="0"/>
        <w:spacing w:line="360" w:lineRule="auto"/>
        <w:ind w:firstLine="640" w:firstLineChars="200"/>
        <w:rPr>
          <w:rFonts w:eastAsia="仿宋_GB2312"/>
          <w:kern w:val="2"/>
          <w:sz w:val="32"/>
          <w:szCs w:val="32"/>
          <w14:ligatures w14:val="standardContextual"/>
        </w:rPr>
      </w:pPr>
      <w:r>
        <w:rPr>
          <w:rFonts w:hint="eastAsia" w:eastAsia="仿宋_GB2312"/>
          <w:kern w:val="2"/>
          <w:sz w:val="32"/>
          <w:szCs w:val="32"/>
          <w14:ligatures w14:val="standardContextual"/>
        </w:rPr>
        <w:t>2026年5月，正式组建编制组并立项。由中国船舶燃料有限责任公司、上海海事大学、中远海运科技股份有限公司等单位联合提出编制需求，完成立项程序；编制组召开启动会，明确成员职责分工，确立以单证全生命周期闭环管理为核心的编写思路。</w:t>
      </w:r>
    </w:p>
    <w:p w14:paraId="0A8414CC">
      <w:pPr>
        <w:adjustRightInd w:val="0"/>
        <w:snapToGrid w:val="0"/>
        <w:spacing w:line="360" w:lineRule="auto"/>
        <w:ind w:firstLine="640" w:firstLineChars="200"/>
        <w:rPr>
          <w:rFonts w:eastAsia="仿宋_GB2312"/>
          <w:kern w:val="2"/>
          <w:sz w:val="32"/>
          <w:szCs w:val="32"/>
          <w14:ligatures w14:val="standardContextual"/>
        </w:rPr>
      </w:pPr>
      <w:r>
        <w:rPr>
          <w:rFonts w:hint="eastAsia" w:eastAsia="仿宋_GB2312"/>
          <w:kern w:val="2"/>
          <w:sz w:val="32"/>
          <w:szCs w:val="32"/>
          <w14:ligatures w14:val="standardContextual"/>
        </w:rPr>
        <w:t>2026年6月～7月，现场调研。对船舶加注作业、海关与海事监管流程、现有EBDN信息平台等进行现场调研，形成调研报告。</w:t>
      </w:r>
    </w:p>
    <w:p w14:paraId="081E9FB1">
      <w:pPr>
        <w:adjustRightInd w:val="0"/>
        <w:snapToGrid w:val="0"/>
        <w:spacing w:line="360" w:lineRule="auto"/>
        <w:ind w:firstLine="640" w:firstLineChars="200"/>
        <w:rPr>
          <w:rFonts w:eastAsia="仿宋_GB2312"/>
          <w:kern w:val="2"/>
          <w:sz w:val="32"/>
          <w:szCs w:val="32"/>
          <w14:ligatures w14:val="standardContextual"/>
        </w:rPr>
      </w:pPr>
      <w:r>
        <w:rPr>
          <w:rFonts w:hint="eastAsia" w:eastAsia="仿宋_GB2312"/>
          <w:kern w:val="2"/>
          <w:sz w:val="32"/>
          <w:szCs w:val="32"/>
          <w14:ligatures w14:val="standardContextual"/>
        </w:rPr>
        <w:t>2026年8月，根据前期调研与研究结果，编制组编制标准初稿，并经多轮专家研讨，完善优化标准文本、细化条款、规范表述，完成标准的征求意见稿（T/CBS 2026—XXXX）及编制说明的编制。</w:t>
      </w:r>
    </w:p>
    <w:p w14:paraId="19E10B04">
      <w:pPr>
        <w:adjustRightInd w:val="0"/>
        <w:snapToGrid w:val="0"/>
        <w:spacing w:line="360" w:lineRule="auto"/>
        <w:ind w:firstLine="640" w:firstLineChars="200"/>
        <w:rPr>
          <w:rFonts w:eastAsia="仿宋_GB2312"/>
          <w:kern w:val="2"/>
          <w:sz w:val="32"/>
          <w:szCs w:val="32"/>
          <w14:ligatures w14:val="standardContextual"/>
        </w:rPr>
      </w:pPr>
      <w:r>
        <w:rPr>
          <w:rFonts w:hint="eastAsia" w:eastAsia="仿宋_GB2312"/>
          <w:kern w:val="2"/>
          <w:sz w:val="32"/>
          <w:szCs w:val="32"/>
          <w14:ligatures w14:val="standardContextual"/>
        </w:rPr>
        <w:t>2026年8月-9月，内部征求意见。通过向参与标准编制的单位广泛征集意见，经梳理、论证后修改完善，形成标准征求意见稿及编制说明。</w:t>
      </w:r>
    </w:p>
    <w:p w14:paraId="69705764">
      <w:pPr>
        <w:pStyle w:val="2"/>
        <w:keepNext/>
        <w:keepLines/>
        <w:adjustRightInd w:val="0"/>
        <w:snapToGrid w:val="0"/>
        <w:spacing w:before="120" w:beforeLines="50" w:after="120" w:afterLines="50"/>
        <w:rPr>
          <w:rFonts w:eastAsia="黑体"/>
          <w:kern w:val="44"/>
          <w:sz w:val="32"/>
          <w:szCs w:val="44"/>
          <w14:ligatures w14:val="standardContextual"/>
        </w:rPr>
      </w:pPr>
      <w:r>
        <w:rPr>
          <w:rFonts w:hint="eastAsia" w:eastAsia="黑体"/>
          <w:kern w:val="44"/>
          <w:sz w:val="32"/>
          <w:szCs w:val="44"/>
          <w14:ligatures w14:val="standardContextual"/>
        </w:rPr>
        <w:t>二、标准编制原则、主要内容及其确定依据</w:t>
      </w:r>
      <w:bookmarkEnd w:id="4"/>
    </w:p>
    <w:p w14:paraId="15D58759">
      <w:pPr>
        <w:adjustRightInd w:val="0"/>
        <w:snapToGrid w:val="0"/>
        <w:spacing w:before="120" w:beforeLines="50" w:after="120" w:afterLines="50" w:line="360" w:lineRule="auto"/>
        <w:ind w:firstLine="643" w:firstLineChars="200"/>
        <w:outlineLvl w:val="1"/>
      </w:pPr>
      <w:bookmarkStart w:id="5" w:name="_Toc25461"/>
      <w:r>
        <w:rPr>
          <w:rFonts w:hint="eastAsia" w:eastAsia="楷体" w:cs="楷体"/>
          <w:b/>
          <w:bCs/>
          <w:kern w:val="2"/>
          <w:sz w:val="32"/>
          <w:szCs w:val="32"/>
          <w14:ligatures w14:val="standardContextual"/>
        </w:rPr>
        <w:t>（一）标准编制原则</w:t>
      </w:r>
      <w:bookmarkEnd w:id="5"/>
    </w:p>
    <w:p w14:paraId="3BB62A03">
      <w:pPr>
        <w:adjustRightInd w:val="0"/>
        <w:snapToGrid w:val="0"/>
        <w:spacing w:line="360" w:lineRule="auto"/>
        <w:ind w:firstLine="640" w:firstLineChars="200"/>
        <w:rPr>
          <w:rFonts w:eastAsia="仿宋_GB2312"/>
          <w:kern w:val="2"/>
          <w:sz w:val="32"/>
          <w:szCs w:val="32"/>
          <w14:ligatures w14:val="standardContextual"/>
        </w:rPr>
      </w:pPr>
      <w:r>
        <w:rPr>
          <w:rFonts w:eastAsia="仿宋_GB2312"/>
          <w:kern w:val="2"/>
          <w:sz w:val="32"/>
          <w:szCs w:val="32"/>
          <w14:ligatures w14:val="standardContextual"/>
        </w:rPr>
        <w:t>1、按照 GB/T 1.1—2020《标准化工作导则 第1部分：标准化文件的结构和起草规则》的相关要求和规定，编写本文件内容。</w:t>
      </w:r>
    </w:p>
    <w:p w14:paraId="56769645">
      <w:pPr>
        <w:adjustRightInd w:val="0"/>
        <w:snapToGrid w:val="0"/>
        <w:spacing w:line="360" w:lineRule="auto"/>
        <w:ind w:firstLine="640" w:firstLineChars="200"/>
      </w:pPr>
      <w:r>
        <w:rPr>
          <w:rFonts w:eastAsia="仿宋_GB2312"/>
          <w:kern w:val="2"/>
          <w:sz w:val="32"/>
          <w:szCs w:val="32"/>
          <w14:ligatures w14:val="standardContextual"/>
        </w:rPr>
        <w:t>2、为实现船用燃料供应电子单证信息平台与数据接口的技术规范，本文件明确了平台基本要求、功能架构、参与方角色与权限管理、数据元规范、一般接口技术要求、业务接口功能规范、数据传输接口要求、平台运维管理及安全管理等内容。</w:t>
      </w:r>
    </w:p>
    <w:p w14:paraId="1E6FC576">
      <w:pPr>
        <w:adjustRightInd w:val="0"/>
        <w:snapToGrid w:val="0"/>
        <w:spacing w:before="120" w:beforeLines="50" w:after="120" w:afterLines="50" w:line="360" w:lineRule="auto"/>
        <w:ind w:firstLine="643" w:firstLineChars="200"/>
        <w:outlineLvl w:val="1"/>
      </w:pPr>
      <w:bookmarkStart w:id="6" w:name="_Toc29875"/>
      <w:r>
        <w:rPr>
          <w:rFonts w:hint="eastAsia" w:eastAsia="楷体" w:cs="楷体"/>
          <w:b/>
          <w:bCs/>
          <w:kern w:val="2"/>
          <w:sz w:val="32"/>
          <w:szCs w:val="32"/>
          <w14:ligatures w14:val="standardContextual"/>
        </w:rPr>
        <w:t>（二）主要技术内容及确定依据</w:t>
      </w:r>
      <w:bookmarkEnd w:id="6"/>
    </w:p>
    <w:p w14:paraId="40F70507">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1、范围</w:t>
      </w:r>
    </w:p>
    <w:p w14:paraId="5F88AA1E">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本文件规定了船用燃料供应电子单证信息平台的基本要求、功能架构、参与方角色与权限管理、数据元规范、接口技术要求、业务接口规范、数据传输接口规范、平台运维管理、安全管理。适用于船用燃料供应电子单证信息平台的设计、开发、建设、运维与管理，也适用于平台各参与方的平台接入、业务使用与合规管控。</w:t>
      </w:r>
    </w:p>
    <w:p w14:paraId="18F3332B">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2、规范性引用文件</w:t>
      </w:r>
    </w:p>
    <w:p w14:paraId="44FEAC2C">
      <w:pPr>
        <w:pStyle w:val="23"/>
        <w:widowControl w:val="0"/>
        <w:numPr>
          <w:ilvl w:val="0"/>
          <w:numId w:val="0"/>
        </w:numPr>
        <w:adjustRightInd w:val="0"/>
        <w:snapToGrid w:val="0"/>
        <w:spacing w:before="120" w:beforeLines="50" w:after="120" w:afterLines="50" w:line="360" w:lineRule="auto"/>
        <w:ind w:firstLine="640" w:firstLineChars="200"/>
        <w:outlineLvl w:val="2"/>
      </w:pPr>
      <w:r>
        <w:rPr>
          <w:rFonts w:hint="eastAsia" w:ascii="Times New Roman" w:eastAsia="仿宋_GB2312" w:cs="黑体"/>
          <w:sz w:val="32"/>
          <w:szCs w:val="32"/>
        </w:rPr>
        <w:t>本文件规范性引用了网络安全等级保护基本要求与定级指南（GB/T 22239—2019、GB/T 22240）、信息系统密码应用基本要求（GB/T 39786）、日期和时间信息交换表示法（GB/T 7408.1—2023）、电子签名格式规范（GB/T 25064）与可靠电子签名（GB/T 35285—2017）、船舶供受燃油规程（GB/T 25346—2020）等国家标准，以及系列标准第1部分（通用要求）、第3部分（辅助单据基本信息要求），为信息平台的安全、合规、互联互通提供了统一的引用支撑。</w:t>
      </w:r>
    </w:p>
    <w:p w14:paraId="791FEC9F">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3、术语和定义</w:t>
      </w:r>
    </w:p>
    <w:p w14:paraId="58C58B64">
      <w:pPr>
        <w:pStyle w:val="23"/>
        <w:widowControl w:val="0"/>
        <w:numPr>
          <w:ilvl w:val="0"/>
          <w:numId w:val="0"/>
        </w:numPr>
        <w:adjustRightInd w:val="0"/>
        <w:snapToGrid w:val="0"/>
        <w:spacing w:before="120" w:beforeLines="50" w:after="120" w:afterLines="50" w:line="360" w:lineRule="auto"/>
        <w:ind w:firstLine="640" w:firstLineChars="200"/>
        <w:outlineLvl w:val="2"/>
      </w:pPr>
      <w:r>
        <w:rPr>
          <w:rFonts w:hint="eastAsia" w:ascii="Times New Roman" w:eastAsia="仿宋_GB2312" w:cs="黑体"/>
          <w:sz w:val="32"/>
          <w:szCs w:val="32"/>
        </w:rPr>
        <w:t>本文件规定了 e-BDN信息平台、接口请求、报文、鉴权等术语，其中 e-BDN信息平台、鉴权等术语定义与规范遵循系列标准第1部分（通用要求）的统一表述，并结合本文件的信息平台与数据接口技术内容进行了适用性补充与明确，统一理解、消除歧义，为后续条款的理解与标准实施提供清晰、准确的技术语言基础。</w:t>
      </w:r>
    </w:p>
    <w:p w14:paraId="2D817071">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4、平台基本要求</w:t>
      </w:r>
    </w:p>
    <w:p w14:paraId="59C37538">
      <w:pPr>
        <w:pStyle w:val="23"/>
        <w:widowControl w:val="0"/>
        <w:numPr>
          <w:ilvl w:val="0"/>
          <w:numId w:val="0"/>
        </w:numPr>
        <w:adjustRightInd w:val="0"/>
        <w:snapToGrid w:val="0"/>
        <w:spacing w:before="120" w:beforeLines="50" w:after="120" w:afterLines="50" w:line="360" w:lineRule="auto"/>
        <w:ind w:firstLine="640" w:firstLineChars="200"/>
        <w:outlineLvl w:val="2"/>
      </w:pPr>
      <w:r>
        <w:rPr>
          <w:rFonts w:hint="eastAsia" w:ascii="Times New Roman" w:eastAsia="仿宋_GB2312" w:cs="黑体"/>
          <w:sz w:val="32"/>
          <w:szCs w:val="32"/>
        </w:rPr>
        <w:t>明确了平台建设应满足的合规性、稳定性、兼容性、可扩展性、安全性六方面基本要求：稳定性要求平台具备不间断连续运行能力，并具备完善的故障应急处置能力；安全性要求满足 GB/T 22239—2019 规定的网络安全等级保护不低于第二级的要求，平台应依据 GB/T 22240 开展等级保护定级、备案与测评，与海关、海事等监管系统直连的数据传输通道的安全保护要求按监管主管部门要求执行；可扩展性要求支持功能扩展、性能扩容、接口升级，可适配行业业务规则、监管要求、单证类型的更新迭代；性能与容量要求平台处理能力与业务量匹配，峰值并发连接数不低于200、接口处理能力不低于20 TPS，页面交互响应时间P95不超过2秒、接口响应时间P95不超过500毫秒，数据恢复点目标（RPO）不超过15分钟，并预留性能扩展能力。上述要求源自对《船舶供受燃油管理办法》及国际海事监管对平台连续性与安全性的底线要求，与系列标准第1部分确定的平台定位相衔接。其中，合规性要求平台建设与运行符合国家法律法规、行业监管要求，满足监管部门的技术对接、数据上报、在线监管等要求，建立完备的平台合规管控体系，并及时跟进监管政策变化完成功能调整与升级；兼容性要求支持与供应链各参与方业务系统、监管部门政务系统、第三方检验检测机构系统与金融机构系统的标准化对接，适配主流操作系统、浏览器与各类常规终端设备。</w:t>
      </w:r>
    </w:p>
    <w:p w14:paraId="3A74BAD6">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5、平台功能架构</w:t>
      </w:r>
    </w:p>
    <w:p w14:paraId="2B308740">
      <w:pPr>
        <w:pStyle w:val="23"/>
        <w:widowControl w:val="0"/>
        <w:numPr>
          <w:ilvl w:val="0"/>
          <w:numId w:val="0"/>
        </w:numPr>
        <w:adjustRightInd w:val="0"/>
        <w:snapToGrid w:val="0"/>
        <w:spacing w:before="120" w:beforeLines="50" w:after="120" w:afterLines="50" w:line="360" w:lineRule="auto"/>
        <w:ind w:firstLine="640" w:firstLineChars="200"/>
        <w:outlineLvl w:val="2"/>
      </w:pPr>
      <w:r>
        <w:rPr>
          <w:rFonts w:hint="eastAsia" w:ascii="Times New Roman" w:eastAsia="仿宋_GB2312" w:cs="黑体"/>
          <w:sz w:val="32"/>
          <w:szCs w:val="32"/>
        </w:rPr>
        <w:t>文件将平台功能架构划分为单证全流程管理、主单与辅助单据管理、数据与接口管理、平台角色权限管理、监管对接、作业流程衔接六个模块，并逐一明确与第1部分通用要求、第3部分</w:t>
      </w:r>
      <w:r>
        <w:rPr>
          <w:rFonts w:ascii="Times New Roman" w:eastAsia="仿宋_GB2312" w:cs="黑体"/>
          <w:sz w:val="32"/>
          <w:szCs w:val="32"/>
        </w:rPr>
        <w:t>辅助单据基本信息要求</w:t>
      </w:r>
      <w:r>
        <w:rPr>
          <w:rFonts w:hint="eastAsia" w:ascii="Times New Roman" w:eastAsia="仿宋_GB2312" w:cs="黑体"/>
          <w:sz w:val="32"/>
          <w:szCs w:val="32"/>
        </w:rPr>
        <w:t>的对应关系：单证全流程管理覆盖标准化模板、电子签名签章、合规校验与存证、分发流转、核验、失效变更、归档调阅等环节；主辅单管理实现核心主单（BDN）与各类辅助单据的成套生成、登记、流转、归档及数据一致性自动校验。该架构参照系列标准第1部分对平台功能的顶层划分，并按信息平台的工程需要细化为可落地、可对接的功能模块。数据与接口管理应支持海关实时数据上传接口，并对下列情形设置强制校验与预警并全程留痕：采用非平台签发的纸质单证的平台不予登记；流量计读数与计量数据差值超出设定阈值的应触发二次复核并留存影像资料；识别为制裁名单内船舶的加注业务应立即冻结作业并在15分钟内上报监管部门。作业流程衔接模块应覆盖预通知、调度派工、提油出库（平台内称提油出仓）、靠泊接管、预置信息、加注监测、电子签章、核销归档环节，记录各环节的责任角色、操作时间与操作结果，并对加注前设备点检结果（供油船与受油船舶油箱余量及水位、压力，质量流量计，加注设备，防爆对讲机，视频监控云台，快速取样器等）进行记录，点检未完成或结论不合格的不得进入加注环节。</w:t>
      </w:r>
    </w:p>
    <w:p w14:paraId="7FC15E1D">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6、参与方角色及权限管理</w:t>
      </w:r>
    </w:p>
    <w:p w14:paraId="384483C2">
      <w:pPr>
        <w:pStyle w:val="23"/>
        <w:widowControl w:val="0"/>
        <w:numPr>
          <w:ilvl w:val="0"/>
          <w:numId w:val="0"/>
        </w:numPr>
        <w:adjustRightInd w:val="0"/>
        <w:snapToGrid w:val="0"/>
        <w:spacing w:before="120" w:beforeLines="50" w:after="120" w:afterLines="50" w:line="360" w:lineRule="auto"/>
        <w:ind w:firstLine="640" w:firstLineChars="200"/>
        <w:outlineLvl w:val="2"/>
      </w:pPr>
      <w:r>
        <w:rPr>
          <w:rFonts w:hint="eastAsia" w:ascii="Times New Roman" w:eastAsia="仿宋_GB2312" w:cs="黑体"/>
          <w:sz w:val="32"/>
          <w:szCs w:val="32"/>
        </w:rPr>
        <w:t>明确了平台参与方设置平台运营方、签发方、登记方、接收方、第三方服务机构、监管方六个标准化角色，并规定了强实名认证、多因子身份核验、权限最小授权及权限变更审批等权限管理要求。该设置参考了电子单证业务中权责清晰、可追溯的通用治理实践，确保各参与方权责匹配、操作留痕，防范越权与“借名操作”风险。其中，单证签署、登记、失效、数据上报等关键操作必须进行二次身份核验（短信验证码、人脸识别或数字证书），其他业务操作应采用强口令并辅以短信验证码或图形验证码；系统管理员权限、数据导出权限等敏感权限的新增、变更、注销必须经审批通过后方可生效；平台应全量记录用户操作行为（操作人、操作时间、操作内容、操作终端、IP地址等），日志不可篡改，留存期限不少于3年。</w:t>
      </w:r>
    </w:p>
    <w:p w14:paraId="377F81D1">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7、数据元规范</w:t>
      </w:r>
    </w:p>
    <w:p w14:paraId="31A40EAF">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规定了数据元的通用规则（编码、日期时间格式、计量单位、代码值域、布尔与枚举标识）及实时上报与通用核心数据元（含单证编号、类型、主单编号、登记与签发方信息、受油船舶与IMO编号、交付信息、燃油产品与品质参数、证书与合同编号、核验地址等23项核心监管数据元），并明确数据元分类与数据元字典（附录A）。通用规则明确：所有数据元按 IETF RFC 3629 采用 UTF-8 编码、字符串型明确最大长度、敏感信息标注加密要求；日期时间型统一采用 GB/T 7408.1—2023 组合表示法（YYYY-MM-DDTHH:mm:ss[.sss]±HH:mm，精确至秒，存储与传输统一带 UTC 偏移）；计量单位采用国际标准计量单位、金额采用对应货币标准单位；代码类数据元采用国家或国际统一标准代码（含国家地区代码、货币代码、船舶IMO编号）；布尔型采用1/0标识，枚举型明确枚举值列表且固定不可随意扩展。监管数据元中加油船名称与IMO编号在船对船交付场景下条件必填、辅助单据须关联主单编号、质量证书编号条件必填；燃料质量指标（硫含量、密度、粘度等）限值应与 ISO 8217 及 MARPOL 附则VI第14条、第18条的要求相协调，单证记录保存期限应满足不少于3年的要求。</w:t>
      </w:r>
    </w:p>
    <w:p w14:paraId="7DD42EA8">
      <w:pPr>
        <w:pStyle w:val="23"/>
        <w:widowControl w:val="0"/>
        <w:numPr>
          <w:ilvl w:val="0"/>
          <w:numId w:val="0"/>
        </w:numPr>
        <w:adjustRightInd w:val="0"/>
        <w:snapToGrid w:val="0"/>
        <w:spacing w:before="120" w:beforeLines="50" w:after="120" w:afterLines="50" w:line="360" w:lineRule="auto"/>
        <w:ind w:firstLine="640" w:firstLineChars="200"/>
        <w:outlineLvl w:val="2"/>
      </w:pPr>
      <w:r>
        <w:rPr>
          <w:rFonts w:hint="eastAsia" w:ascii="Times New Roman" w:eastAsia="仿宋_GB2312" w:cs="黑体"/>
          <w:sz w:val="32"/>
          <w:szCs w:val="32"/>
        </w:rPr>
        <w:t>理由及依据：数据元是信息平台互联互通、数据可交换、可追溯的基础。本文件依据 GB/T 7408.1—2023 等标准统一编码与格式规范，参照 MEPC.391(81)《2024年船用燃料全生命周期温室气体强度导则》及船舶、港口、海关监管对核心数据项的要求，确定了23项核心监管数据元并完整编入附录A数据元字典（含主体基础数据元16项、单证核心业务数据元54项、单证全流程管理数据元18项、操作日志数据元8项、监管上报数据元23项、辅助支撑数据元21项，共6大类），为平台数据采集、上报与监管调阅提供统一的数据基础，确保数据真实、完整、可核查。</w:t>
      </w:r>
    </w:p>
    <w:p w14:paraId="500ED020">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8、一般接口技术要求</w:t>
      </w:r>
    </w:p>
    <w:p w14:paraId="63534772">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明确了接口的架构、安全、运维与测试四方面技术要求：接口按照 IETF RFC 9110 采用 HTTP/HTTPS 协议，支持 GET、POST、PUT、DELETE 等请求方法，数据传输格式统一采用 JSON（ECMA-404 及 RFC 8259）与 UTF-8 编码，采用 URL 路径版本号进行版本控制且版本更新向下兼容，旧版本停用应提前不少于30日通知对接方并提供过渡期与技术支持，写操作类接口应支持幂等键（clientRequestNo），新增接口响应报文应包含全局唯一请求ID（requestId）与响应时间戳，并建立分层编码的统一业务错误码体系；必须采用 HTTPS 加密传输，对接方须先完成主体认证与接入申请并获取唯一接口密钥和公钥，可参照 IETF RFC 6749 及 RFC 9700 采用令牌机制调用，Token 有效期不超过24小时；涉及监管数据上报、资金结算、单证登记与失效的接口请求必须进行签名校验，其他接口宜进行签名校验；应设置调用频率限制，单用户每分钟不超过60次、单IP每分钟不超过300次；接口密钥、公钥与访问令牌应实行全生命周期管理，禁止客户端明文存储与日志记录明文；接口调用日志不可篡改、留存不低于6个月，并具备接口监控、变更通知与开发支持等运维保障；接口交付前应开展功能测试、性能测试与安全测试及互操作性测试，并形成测试记录作为验收依据。</w:t>
      </w:r>
    </w:p>
    <w:p w14:paraId="0CE8C8DE">
      <w:pPr>
        <w:pStyle w:val="23"/>
        <w:widowControl w:val="0"/>
        <w:numPr>
          <w:ilvl w:val="0"/>
          <w:numId w:val="0"/>
        </w:numPr>
        <w:adjustRightInd w:val="0"/>
        <w:snapToGrid w:val="0"/>
        <w:spacing w:before="120" w:beforeLines="50" w:after="120" w:afterLines="50" w:line="360" w:lineRule="auto"/>
        <w:ind w:firstLine="640" w:firstLineChars="200"/>
        <w:outlineLvl w:val="2"/>
      </w:pPr>
      <w:r>
        <w:rPr>
          <w:rFonts w:hint="eastAsia" w:ascii="Times New Roman" w:eastAsia="仿宋_GB2312" w:cs="黑体"/>
          <w:sz w:val="32"/>
          <w:szCs w:val="32"/>
        </w:rPr>
        <w:t>理由及依据：接口是平台与各参与方业务系统、监管系统对接的技术枢纽，其安全性与规范性直接决定数据交换的安全性与可靠性。上述技术要求参照 IETF RFC 9110、RFC 6749、RFC 9700、RFC 8259、RFC 3629、ECMA-404（JSON）及 GB/T 22239、GB/T 25064、GB/T 35285 等标准，借鉴电子签名、密码应用与等级保护通用实践，确保接口在开放环境下的保密性、完整性、可用性与可审计性，防范未授权调用与数据篡改。</w:t>
      </w:r>
    </w:p>
    <w:p w14:paraId="596EA811">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9、业务接口功能规范</w:t>
      </w:r>
    </w:p>
    <w:p w14:paraId="05326F98">
      <w:pPr>
        <w:pStyle w:val="23"/>
        <w:widowControl w:val="0"/>
        <w:numPr>
          <w:ilvl w:val="0"/>
          <w:numId w:val="0"/>
        </w:numPr>
        <w:adjustRightInd w:val="0"/>
        <w:snapToGrid w:val="0"/>
        <w:spacing w:before="120" w:beforeLines="50" w:after="120" w:afterLines="50" w:line="360" w:lineRule="auto"/>
        <w:ind w:firstLine="640" w:firstLineChars="200"/>
        <w:outlineLvl w:val="2"/>
      </w:pPr>
      <w:r>
        <w:rPr>
          <w:rFonts w:hint="eastAsia" w:ascii="Times New Roman" w:eastAsia="仿宋_GB2312" w:cs="黑体"/>
          <w:sz w:val="32"/>
          <w:szCs w:val="32"/>
        </w:rPr>
        <w:t>明确了 IF-00～IF-08 共9个业务接口，其中 IF-01～IF-04 为四类核心业务接口：单证信息查询接口（按编号、合同号、船舶IMO编号等多维度查询）、单证核验接口（单证真实性、完整性核验，核验项目以数组方式传入，支持单条、批量及扫码核验并实时反馈结果，批量核验响应含总核验项目数、通过项目数与失败项目数）、单证上传与登记接口（批量上传、合规校验、登记申请与核验地址返回）、单证状态同步接口（登记完成、失效、流转签收、核验等状态实时推送，宜采用 Webhook 机制，支持推送地址注册、报文签名、失败重试不少于3次且间隔递增与失败告警，对接方接收后应返回确认响应）。IF-05～IF-08 为其他业务接口，包括供油任务管理接口（供油任务的创建、查询、变更与状态流转，状态取值符合 A.4）、基础数据查询接口（供应商、船舶、油品等基础数据）、文件上传接口（油样照片、签收回执、检验报告等附件的上传与关联存证）以及按监管要求提供的海关核销、海事报告等监管数据上报接口，其数据项与报文格式按监管主管部门要求确定。上述接口构成了信息平台核心业务操作的完整、标准化对外能力，接口路径与报文结构由平台在接口文档中发布与维护，便于各参与方系统集成与快速对接。</w:t>
      </w:r>
    </w:p>
    <w:p w14:paraId="7AEFBE68">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10、数据传输接口要求</w:t>
      </w:r>
    </w:p>
    <w:p w14:paraId="5A6891B8">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明确了平台与海关、海事等监管部门之间的数据传输接口：包含接口总体要求（实时、准确、完整上报，自动校验、全流程跟踪，记录留存期限不低于3年，支持监管指令接收与响应）、实时数据上传接口（严格遵循 API 接口对接、单一窗口对接等监管部门指定的对接方式，采用事件触发机制，在单证完成登记、状态变更、失效变更时自动触发上传，上报数据至少包含本文件7.2条表1规定的23项核心监管数据元，上传失败应记录原因、立即示警并启动自动重试，连续重试失败的转为人工处置）、监管数据回调接口（接收回调指令、核查通知、补报要求、审核结果，应在2小时内完成解析与记录，需人工处置的指令于下一个工作日内完成响应与反馈，紧急指令30分钟内响应）、历史数据查询与调阅接口（支持批量查询、调阅历史单证数据、全流程业务记录与归档资料，严格按监管部门的授权范围开放数据查询权限，在规定时限内真实、完整返回结果）。接口总体要求还明确：单证完成登记后应完成数据自动上传，上报状态实时跟踪，异常情况立即触发告警；上报前应对必填字段、数据格式、值域范围进行合规校验，校验不通过的不得上传并触发异常提醒，由人工处置后重新上报；上报全过程应记录上传时间、上传数据、返回结果与重试记录，全程留痕可追溯。</w:t>
      </w:r>
    </w:p>
    <w:p w14:paraId="78AB1615">
      <w:pPr>
        <w:pStyle w:val="23"/>
        <w:widowControl w:val="0"/>
        <w:numPr>
          <w:ilvl w:val="0"/>
          <w:numId w:val="0"/>
        </w:numPr>
        <w:adjustRightInd w:val="0"/>
        <w:snapToGrid w:val="0"/>
        <w:spacing w:before="120" w:beforeLines="50" w:after="120" w:afterLines="50" w:line="360" w:lineRule="auto"/>
        <w:ind w:firstLine="640" w:firstLineChars="200"/>
        <w:outlineLvl w:val="2"/>
      </w:pPr>
      <w:r>
        <w:rPr>
          <w:rFonts w:hint="eastAsia" w:ascii="Times New Roman" w:eastAsia="仿宋_GB2312" w:cs="黑体"/>
          <w:sz w:val="32"/>
          <w:szCs w:val="32"/>
        </w:rPr>
        <w:t>理由及依据：与外部监管系统的数据互通是电子单证发挥监管协同价值的关键。本文件参照海关监管系统对接规范与数据格式要求，遵循事件触发、自动上报与异常重试机制，严格遵循23项核心监管数据元，确保单证数据实时、准确、完整上报，并支持海关的数据补报、调阅与异常核查指令，实现监管数据的全程留痕可追溯，为合规监管与追溯提供技术保障。</w:t>
      </w:r>
    </w:p>
    <w:p w14:paraId="567B2674">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11、平台运维管理</w:t>
      </w:r>
    </w:p>
    <w:p w14:paraId="4D7F0FAC">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明确了平台运维的组织与人员（专职运维团队、岗位职责、保密协议）、日常运维管理（巡检、全链路监控、变更管理、健康检查）与应急管理（应急预案、应急演练、故障处置与上报），保障平台持续、稳定、安全运行，为平台长期可用与服务质量提供管理支撑。运维团队应配备系统管理员、网络管理员、安全管理员、数据库管理员等专职人员，运维人员应定期参加技术与安全培训并签订保密协议，不得未经授权访问、修改、泄露平台业务数据与用户信息；日常运维应对服务器、网络、数据库、应用系统、接口服务进行全链路监控，并对现场计量设备、视频监控与存证节点的在线状态进行监测，系统升级、版本发布、配置变更须提前制定方案、开展测试并履行审批流程，变更过程全程留痕、变更后进行效果验证；应急管理应覆盖系统故障、网络中断、网络攻击、数据泄露、自然灾害等突发事件，每半年至少组织一次应急演练，突发事件发生后应立即启动应急预案，及时告知相关用户与监管部门并按规定上报。</w:t>
      </w:r>
    </w:p>
    <w:p w14:paraId="1E892A07">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12、平台安全管理</w:t>
      </w:r>
    </w:p>
    <w:p w14:paraId="0F1E21A4">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明确了平台安全管理的网络安全（合理划分互联网接入区、业务服务区、数据存储区、管理区等网络安全区域，部署防火墙等边界访问控制措施、宜部署 Web 应用防火墙或云WAF，采用 TLS 1.2 及以上版本加密传输、鼓励采用 TLS 1.3，与监管系统对接的通道按监管主管部门指定的加密方式执行）、数据安全（数据分为公开、内部、敏感、机密四级，敏感及以上级别数据采用国家认可的商用密码算法（SM4）加密存储与脱敏展示，采用实时备份与定时备份相结合、备份数据异地存储并定期开展恢复测试，数据访问、导出与共享须履行审批流程并全程留痕，个人信息处理遵循最小必要原则并符合 GB/T 35273）、应用安全（需求、设计、开发、测试、上线全流程融入安全要求并定期开展代码审计与漏洞扫描，每年至少开展一次渗透测试，重大版本上线前开展安全测试，电子签署、单证存证等核心功能模块采用国家认可的密码技术保护）、主机与终端安全（安全加固，口令长度不少于8位且包含字母、数字与特殊字符中的至少两类，主机访问须经授权并全程留痕，运维终端与管理终端统一安全管控）四方面要求。</w:t>
      </w:r>
    </w:p>
    <w:p w14:paraId="11FD54EA">
      <w:pPr>
        <w:pStyle w:val="23"/>
        <w:widowControl w:val="0"/>
        <w:numPr>
          <w:ilvl w:val="0"/>
          <w:numId w:val="0"/>
        </w:numPr>
        <w:adjustRightInd w:val="0"/>
        <w:snapToGrid w:val="0"/>
        <w:spacing w:before="120" w:beforeLines="50" w:after="120" w:afterLines="50" w:line="360" w:lineRule="auto"/>
        <w:ind w:firstLine="640" w:firstLineChars="200"/>
        <w:outlineLvl w:val="2"/>
      </w:pPr>
      <w:r>
        <w:rPr>
          <w:rFonts w:hint="eastAsia" w:ascii="Times New Roman" w:eastAsia="仿宋_GB2312" w:cs="黑体"/>
          <w:sz w:val="32"/>
          <w:szCs w:val="32"/>
        </w:rPr>
        <w:t>理由及依据：信息平台处理大量供应链主体与监管数据，安全是其的生命线。本文件落实 GB/T 22239、GB/T 39786 等标准对等级保护与密码应用的强制性要求，采用国家认可的商用密码算法（SM4）与 TLS 1.2 及以上（鼓励 TLS 1.3）等成熟加密技术，结合电子签名与单证存证对核心功能的密码保护要求，保障平台与数据的 confidentiality、integrity 与可用性，防范网络攻击、数据泄露与篡改风险。</w:t>
      </w:r>
    </w:p>
    <w:p w14:paraId="3EAF61A9">
      <w:pPr>
        <w:adjustRightInd w:val="0"/>
        <w:snapToGrid w:val="0"/>
        <w:spacing w:line="360" w:lineRule="auto"/>
        <w:ind w:firstLine="640" w:firstLineChars="200"/>
        <w:rPr>
          <w:rFonts w:eastAsia="仿宋_GB2312"/>
          <w:kern w:val="2"/>
          <w:sz w:val="32"/>
          <w:szCs w:val="32"/>
          <w14:ligatures w14:val="standardContextual"/>
        </w:rPr>
      </w:pPr>
      <w:r>
        <w:rPr>
          <w:rFonts w:hint="eastAsia" w:eastAsia="仿宋_GB2312"/>
          <w:kern w:val="2"/>
          <w:sz w:val="32"/>
          <w:szCs w:val="32"/>
          <w14:ligatures w14:val="standardContextual"/>
        </w:rPr>
        <w:t>13、附录</w:t>
      </w:r>
    </w:p>
    <w:p w14:paraId="69426343">
      <w:pPr>
        <w:adjustRightInd w:val="0"/>
        <w:snapToGrid w:val="0"/>
        <w:spacing w:line="360" w:lineRule="auto"/>
        <w:ind w:firstLine="640" w:firstLineChars="200"/>
        <w:rPr>
          <w:rFonts w:eastAsia="仿宋_GB2312"/>
          <w:kern w:val="2"/>
          <w:sz w:val="32"/>
          <w:szCs w:val="32"/>
          <w14:ligatures w14:val="standardContextual"/>
        </w:rPr>
      </w:pPr>
      <w:r>
        <w:rPr>
          <w:rFonts w:hint="eastAsia" w:eastAsia="仿宋_GB2312"/>
          <w:kern w:val="2"/>
          <w:sz w:val="32"/>
          <w:szCs w:val="32"/>
          <w14:ligatures w14:val="standardContextual"/>
        </w:rPr>
        <w:t>附录A（规范性）数据元字典：规定 e-BDN 全体系数据元分类（主体基础数据元16项、单证核心业务数据元54项、单证全流程管理数据元18项、操作日志数据元8项、监管上报数据元23项、辅助支撑数据元21项），并提供各数据元的名称、英文标识、数据类型、长度、格式、值域、必填属性与备注，为平台数据录入、校验与上报提供统一、可核查的字典依据。本文件仅设附录A（规范性）数据元字典一个规范性附录，另设参考文献；数据元字典中单证状态转换规则与业务状态、出仓状态取值（A.4）、预警信息相关数据元（A.7）为平台状态流转与强制校验预警提供字典依据。</w:t>
      </w:r>
    </w:p>
    <w:p w14:paraId="74330BE9">
      <w:pPr>
        <w:pStyle w:val="2"/>
        <w:keepNext/>
        <w:keepLines/>
        <w:adjustRightInd w:val="0"/>
        <w:snapToGrid w:val="0"/>
        <w:spacing w:before="120" w:beforeLines="50" w:after="120" w:afterLines="50"/>
        <w:rPr>
          <w:rFonts w:eastAsia="黑体"/>
          <w:kern w:val="44"/>
          <w:sz w:val="32"/>
          <w:szCs w:val="44"/>
          <w14:ligatures w14:val="standardContextual"/>
        </w:rPr>
      </w:pPr>
      <w:bookmarkStart w:id="7" w:name="_Toc392"/>
      <w:r>
        <w:rPr>
          <w:rFonts w:hint="eastAsia" w:eastAsia="黑体"/>
          <w:kern w:val="44"/>
          <w:sz w:val="32"/>
          <w:szCs w:val="44"/>
          <w14:ligatures w14:val="standardContextual"/>
        </w:rPr>
        <w:t>三、试验验证的分析、综述报告，技术经济论证，预期的经济效益、社会效益和生态效益</w:t>
      </w:r>
      <w:bookmarkEnd w:id="7"/>
    </w:p>
    <w:p w14:paraId="655CF05D">
      <w:pPr>
        <w:adjustRightInd w:val="0"/>
        <w:snapToGrid w:val="0"/>
        <w:spacing w:before="120" w:beforeLines="50" w:after="120" w:afterLines="50" w:line="360" w:lineRule="auto"/>
        <w:ind w:firstLine="643" w:firstLineChars="200"/>
        <w:outlineLvl w:val="1"/>
      </w:pPr>
      <w:bookmarkStart w:id="8" w:name="_Toc19531"/>
      <w:r>
        <w:rPr>
          <w:rFonts w:hint="eastAsia" w:eastAsia="楷体" w:cs="楷体"/>
          <w:b/>
          <w:bCs/>
          <w:kern w:val="2"/>
          <w:sz w:val="32"/>
          <w:szCs w:val="32"/>
          <w14:ligatures w14:val="standardContextual"/>
        </w:rPr>
        <w:t>（一）试验验证的分析</w:t>
      </w:r>
      <w:bookmarkEnd w:id="8"/>
    </w:p>
    <w:p w14:paraId="397E1067">
      <w:pPr>
        <w:adjustRightInd w:val="0"/>
        <w:snapToGrid w:val="0"/>
        <w:spacing w:line="360" w:lineRule="auto"/>
        <w:ind w:firstLine="640" w:firstLineChars="200"/>
        <w:rPr>
          <w:rFonts w:eastAsia="仿宋_GB2312"/>
          <w:kern w:val="2"/>
          <w:sz w:val="32"/>
          <w:szCs w:val="32"/>
          <w14:ligatures w14:val="standardContextual"/>
        </w:rPr>
      </w:pPr>
      <w:r>
        <w:rPr>
          <w:rFonts w:eastAsia="仿宋_GB2312"/>
          <w:kern w:val="2"/>
          <w:sz w:val="32"/>
          <w:szCs w:val="32"/>
          <w14:ligatures w14:val="standardContextual"/>
        </w:rPr>
        <w:t>2025年，上海海事大学牵头组织专家，以某船用燃料供受电子单证信息平台的工程化建设实践为典型案例，对照《船用燃料供应电子单证技术规范》系列标准开展专项验证。验证过程中，已核验平台建设的全套材料，包括平台架构设计文档、数据元字典与核心监管数据元配置表、接口设计说明与联调测试记录、安全与运维管理制度、与海关监管系统的对接测试报告等，所有材料完整齐全，该平台实践基本符合上述标准的相关规定与要求。本次案例验证的重点是《信息平台与数据接口要求》的可操作性：评价工作严格遵循“案例选取—功能与接口审核—标准对照—合规判定”流程，该流程执行标准明确、责任分工清晰，无需额外补充复杂流程及专业设备，可直接应用于同类平台建设项目，贴合航运与海事监管的实际场景。平台建设的实践经验印证了标准的具备可行性、科学性、实操性，并具备良好的推广价值。</w:t>
      </w:r>
    </w:p>
    <w:p w14:paraId="3448197C">
      <w:pPr>
        <w:adjustRightInd w:val="0"/>
        <w:snapToGrid w:val="0"/>
        <w:spacing w:before="120" w:beforeLines="50" w:after="120" w:afterLines="50" w:line="360" w:lineRule="auto"/>
        <w:ind w:firstLine="643" w:firstLineChars="200"/>
        <w:outlineLvl w:val="1"/>
        <w:rPr>
          <w:rFonts w:eastAsia="楷体" w:cs="楷体"/>
          <w:b/>
          <w:bCs/>
          <w:kern w:val="2"/>
          <w:sz w:val="32"/>
          <w:szCs w:val="32"/>
          <w14:ligatures w14:val="standardContextual"/>
        </w:rPr>
      </w:pPr>
      <w:bookmarkStart w:id="9" w:name="_Toc16242"/>
      <w:r>
        <w:rPr>
          <w:rFonts w:hint="eastAsia" w:eastAsia="楷体" w:cs="楷体"/>
          <w:b/>
          <w:bCs/>
          <w:kern w:val="2"/>
          <w:sz w:val="32"/>
          <w:szCs w:val="32"/>
          <w14:ligatures w14:val="standardContextual"/>
        </w:rPr>
        <w:t>（二）预期的经济效益、社会效益和生态效益</w:t>
      </w:r>
      <w:bookmarkEnd w:id="9"/>
    </w:p>
    <w:p w14:paraId="4D066A43">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1、经济效益</w:t>
      </w:r>
    </w:p>
    <w:p w14:paraId="0A27595F">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标准对接国际海事规则与绿色燃料发展趋势，规范电子单证信息平台与数据接口，可为船用清洁燃料的国际合规与碳足迹核算提供统一、可靠的数据基础，帮助供油企业以标准化数据满足 EU ETS、低硫燃油强制令等国际规则及船东、港口的合规要求，避免因单证不规范导致的交易受阻与合规成本上升。统一的接口与数据标准可降低各参与方系统集成与对接的重复开发成本，标准化平台的建设与运维可缩短项目周期、提升效率，促进航运绿色燃料供应链的规模化发展。</w:t>
      </w:r>
    </w:p>
    <w:p w14:paraId="229C3A80">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2、社会效益</w:t>
      </w:r>
    </w:p>
    <w:p w14:paraId="5E7D01B0">
      <w:pPr>
        <w:pStyle w:val="23"/>
        <w:widowControl w:val="0"/>
        <w:numPr>
          <w:ilvl w:val="0"/>
          <w:numId w:val="0"/>
        </w:numPr>
        <w:adjustRightInd w:val="0"/>
        <w:snapToGrid w:val="0"/>
        <w:spacing w:before="120" w:beforeLines="50" w:after="120" w:afterLines="50" w:line="360" w:lineRule="auto"/>
        <w:ind w:firstLine="640" w:firstLineChars="200"/>
        <w:outlineLvl w:val="2"/>
      </w:pPr>
      <w:r>
        <w:rPr>
          <w:rFonts w:hint="eastAsia" w:ascii="Times New Roman" w:eastAsia="仿宋_GB2312" w:cs="黑体"/>
          <w:sz w:val="32"/>
          <w:szCs w:val="32"/>
        </w:rPr>
        <w:t>标准落实《船舶供受燃油管理办法》对电子单证的法定要求，以标准化信息平台解决单证流转纸质化、不可追溯、跨系统不互通等长期痛点，推动船用燃料供应数字化、规范化，带动信息安全、系统集成、检验检测等配套服务产业发展，创造新的就业与技术服务岗位。规范的数据接口与监管对接机制，有助于提升海事监管效率与透明度，减少单证造假与合规风险，改善航运业营商环境。</w:t>
      </w:r>
    </w:p>
    <w:p w14:paraId="7CB697D2">
      <w:pPr>
        <w:pStyle w:val="23"/>
        <w:widowControl w:val="0"/>
        <w:numPr>
          <w:ilvl w:val="0"/>
          <w:numId w:val="0"/>
        </w:numPr>
        <w:adjustRightInd w:val="0"/>
        <w:snapToGrid w:val="0"/>
        <w:spacing w:before="120" w:beforeLines="50" w:after="120" w:afterLines="50" w:line="360" w:lineRule="auto"/>
        <w:ind w:firstLine="640" w:firstLineChars="200"/>
        <w:outlineLvl w:val="2"/>
        <w:rPr>
          <w:rFonts w:ascii="Times New Roman" w:eastAsia="仿宋_GB2312" w:cs="黑体"/>
          <w:sz w:val="32"/>
          <w:szCs w:val="32"/>
        </w:rPr>
      </w:pPr>
      <w:r>
        <w:rPr>
          <w:rFonts w:hint="eastAsia" w:ascii="Times New Roman" w:eastAsia="仿宋_GB2312" w:cs="黑体"/>
          <w:sz w:val="32"/>
          <w:szCs w:val="32"/>
        </w:rPr>
        <w:t>3、生态效益</w:t>
      </w:r>
    </w:p>
    <w:p w14:paraId="03EB6029">
      <w:pPr>
        <w:pStyle w:val="23"/>
        <w:widowControl w:val="0"/>
        <w:numPr>
          <w:ilvl w:val="0"/>
          <w:numId w:val="0"/>
        </w:numPr>
        <w:adjustRightInd w:val="0"/>
        <w:snapToGrid w:val="0"/>
        <w:spacing w:before="120" w:beforeLines="50" w:after="120" w:afterLines="50" w:line="360" w:lineRule="auto"/>
        <w:ind w:firstLine="640" w:firstLineChars="200"/>
        <w:outlineLvl w:val="2"/>
      </w:pPr>
      <w:r>
        <w:rPr>
          <w:rFonts w:hint="eastAsia" w:ascii="Times New Roman" w:eastAsia="仿宋_GB2312" w:cs="黑体"/>
          <w:sz w:val="32"/>
          <w:szCs w:val="32"/>
        </w:rPr>
        <w:t>标准是实现船舶温室气体与硫氧化物排放精细化管控的数据基础。通过统一、可追溯的电子单证与数据接口，可准确核算船舶燃料碳足迹与全生命周期温室气体强度，支撑国际绿色燃料的认证、交易与价值兑现，推动航运业从高污染、不可追溯的传统供受模式向绿色低碳、数据透明的模式转型，助力碳达峰碳中和及国际海事碳治理目标的达成，减少船舶大气与温室气体排放。</w:t>
      </w:r>
    </w:p>
    <w:p w14:paraId="77D4A496">
      <w:pPr>
        <w:pStyle w:val="2"/>
        <w:keepNext/>
        <w:keepLines/>
        <w:adjustRightInd w:val="0"/>
        <w:snapToGrid w:val="0"/>
        <w:spacing w:before="120" w:beforeLines="50" w:after="120" w:afterLines="50"/>
        <w:rPr>
          <w:rFonts w:eastAsia="黑体"/>
          <w:kern w:val="44"/>
          <w:sz w:val="32"/>
          <w:szCs w:val="44"/>
          <w14:ligatures w14:val="standardContextual"/>
        </w:rPr>
      </w:pPr>
      <w:bookmarkStart w:id="10" w:name="_Toc13853"/>
      <w:r>
        <w:rPr>
          <w:rFonts w:hint="eastAsia" w:eastAsia="黑体"/>
          <w:kern w:val="44"/>
          <w:sz w:val="32"/>
          <w:szCs w:val="44"/>
          <w14:ligatures w14:val="standardContextual"/>
        </w:rPr>
        <w:t>四、与国际、国外同类标准技术内容的对比情况</w:t>
      </w:r>
      <w:bookmarkEnd w:id="10"/>
    </w:p>
    <w:p w14:paraId="33BB0854">
      <w:pPr>
        <w:adjustRightInd w:val="0"/>
        <w:snapToGrid w:val="0"/>
        <w:spacing w:line="360" w:lineRule="auto"/>
        <w:ind w:firstLine="640" w:firstLineChars="200"/>
      </w:pPr>
      <w:r>
        <w:rPr>
          <w:rFonts w:eastAsia="仿宋_GB2312"/>
          <w:kern w:val="2"/>
          <w:sz w:val="32"/>
          <w:szCs w:val="32"/>
          <w14:ligatures w14:val="standardContextual"/>
        </w:rPr>
        <w:t>当前，国际上尚无专门针对船用燃料供应电子单证信息平台的成套技术标准，相关技术要求散见于 IMO 相关决议、EU ETS 体系的技术规范、各国低硫燃油与碳强度规制，以及电子签名、数据安全、等级保护等通用信息技术标准之中。本文件未直接引用国际标准，但在接口安全（参照 IETF RFC 9110、RFC 6749、RFC 9700 等 RFC 系列与 OAuth 2.0）、数据格式（JSON，ECMA-404 及 RFC 8259）、电子签名（GB/T 25064、GB/T 35285）、网络安全（GB/T 22239、GB/T 22240）、燃料产品类型与质量指标（MEPC.391(81)、ISO 8217、MARPOL 附则VI）等关键环节，系统参考了国内外先进标准与规范，确保信息平台技术体系的先进性、兼容性与国际通用性，与系列标准第1部分共同构建设计先进、安全可靠的船用燃料电子单证信息平台技术规范。</w:t>
      </w:r>
    </w:p>
    <w:p w14:paraId="293B3F7B">
      <w:pPr>
        <w:pStyle w:val="2"/>
        <w:keepNext/>
        <w:keepLines/>
        <w:adjustRightInd w:val="0"/>
        <w:snapToGrid w:val="0"/>
        <w:spacing w:before="120" w:beforeLines="50" w:after="120" w:afterLines="50"/>
      </w:pPr>
      <w:bookmarkStart w:id="11" w:name="_Toc17000"/>
      <w:r>
        <w:rPr>
          <w:rFonts w:hint="eastAsia" w:eastAsia="黑体"/>
          <w:kern w:val="44"/>
          <w:sz w:val="32"/>
          <w:szCs w:val="44"/>
          <w14:ligatures w14:val="standardContextual"/>
        </w:rPr>
        <w:t>五、以国际标准为基础的起草情况，以及是否合规引用或者采用国际国外标准，并说明未采用国际标准的原因</w:t>
      </w:r>
      <w:bookmarkEnd w:id="11"/>
    </w:p>
    <w:p w14:paraId="60FF17AA">
      <w:pPr>
        <w:adjustRightInd w:val="0"/>
        <w:snapToGrid w:val="0"/>
        <w:spacing w:line="360" w:lineRule="auto"/>
        <w:ind w:firstLine="640" w:firstLineChars="200"/>
      </w:pPr>
      <w:r>
        <w:rPr>
          <w:rFonts w:hint="eastAsia" w:eastAsia="仿宋_GB2312"/>
          <w:kern w:val="2"/>
          <w:sz w:val="32"/>
          <w:szCs w:val="32"/>
          <w14:ligatures w14:val="standardContextual"/>
        </w:rPr>
        <w:t>本文件仅对标 ISO 及国外标准相关要求，制定过程中根据国内船用燃料供应与海事监管实际情况制定，未以国际标准为基础进行起草。原因如下：一是国际上尚未形成专门针对船用燃料供应电子单证信息平台的系统性、完整性技术规范，现有相关标准与规制分散、覆盖不全面；二是国内外船用燃料供应模式、监管体系、海关与海事监管要求存在显著差异，直接采用国际标准难以适配国内实际；三是我国航运数字化与绿色燃料发展迅猛，亟需构建自主可控、科学适用的信息平台与数据接口标准，以规范行业发展、保障数据安全与监管协同，并进一步提升我国在国际海事标准制定领域的话语权。本文件在接口协议、加密传输、电子签名等方面合规引用国内外成熟通用标准，实现与国际通用方法的兼容。</w:t>
      </w:r>
    </w:p>
    <w:p w14:paraId="353BC7A0">
      <w:pPr>
        <w:pStyle w:val="2"/>
        <w:keepNext/>
        <w:keepLines/>
        <w:adjustRightInd w:val="0"/>
        <w:snapToGrid w:val="0"/>
        <w:spacing w:before="120" w:beforeLines="50" w:after="120" w:afterLines="50"/>
        <w:rPr>
          <w:rFonts w:eastAsia="黑体"/>
          <w:kern w:val="44"/>
          <w:sz w:val="32"/>
          <w:szCs w:val="44"/>
          <w14:ligatures w14:val="standardContextual"/>
        </w:rPr>
      </w:pPr>
      <w:bookmarkStart w:id="12" w:name="_Toc27275"/>
      <w:r>
        <w:rPr>
          <w:rFonts w:hint="eastAsia" w:eastAsia="黑体"/>
          <w:kern w:val="44"/>
          <w:sz w:val="32"/>
          <w:szCs w:val="44"/>
          <w14:ligatures w14:val="standardContextual"/>
        </w:rPr>
        <w:t>六、与有关法律、行政法规及相关标准的关系</w:t>
      </w:r>
      <w:bookmarkEnd w:id="12"/>
    </w:p>
    <w:p w14:paraId="51660A0F">
      <w:pPr>
        <w:adjustRightInd w:val="0"/>
        <w:snapToGrid w:val="0"/>
        <w:spacing w:line="360" w:lineRule="auto"/>
        <w:ind w:firstLine="640" w:firstLineChars="200"/>
      </w:pPr>
      <w:r>
        <w:rPr>
          <w:rFonts w:hint="eastAsia" w:eastAsia="仿宋_GB2312"/>
          <w:kern w:val="2"/>
          <w:sz w:val="32"/>
          <w:szCs w:val="32"/>
          <w14:ligatures w14:val="standardContextual"/>
        </w:rPr>
        <w:t>本文件紧密契合我国绿色发展与航运监管理念，在法律衔接、标准协调及领域补充方面形成完整逻辑体系：</w:t>
      </w:r>
    </w:p>
    <w:p w14:paraId="529CBF7C">
      <w:pPr>
        <w:adjustRightInd w:val="0"/>
        <w:snapToGrid w:val="0"/>
        <w:spacing w:line="360" w:lineRule="auto"/>
        <w:ind w:firstLine="640" w:firstLineChars="200"/>
        <w:rPr>
          <w:rFonts w:eastAsia="仿宋_GB2312"/>
          <w:kern w:val="2"/>
          <w:sz w:val="32"/>
          <w:szCs w:val="32"/>
          <w14:ligatures w14:val="standardContextual"/>
        </w:rPr>
      </w:pPr>
      <w:r>
        <w:rPr>
          <w:rFonts w:hint="eastAsia" w:eastAsia="仿宋_GB2312"/>
          <w:kern w:val="2"/>
          <w:sz w:val="32"/>
          <w:szCs w:val="32"/>
          <w14:ligatures w14:val="standardContextual"/>
        </w:rPr>
        <w:t>1）法律衔接层面，严格遵循《中华人民共和国海上交通安全法》《船舶供受燃油管理办法》《中华人民共和国数据安全法》《中华人民共和国网络安全法》对数据安全管理、电子单证与电子签名、网络安全等级保护等的要求。</w:t>
      </w:r>
    </w:p>
    <w:p w14:paraId="626AD050">
      <w:pPr>
        <w:adjustRightInd w:val="0"/>
        <w:snapToGrid w:val="0"/>
        <w:spacing w:line="360" w:lineRule="auto"/>
        <w:ind w:firstLine="640" w:firstLineChars="200"/>
        <w:rPr>
          <w:rFonts w:eastAsia="仿宋_GB2312"/>
          <w:kern w:val="2"/>
          <w:sz w:val="32"/>
          <w:szCs w:val="32"/>
          <w14:ligatures w14:val="standardContextual"/>
        </w:rPr>
      </w:pPr>
      <w:r>
        <w:rPr>
          <w:rFonts w:hint="eastAsia" w:eastAsia="仿宋_GB2312"/>
          <w:kern w:val="2"/>
          <w:sz w:val="32"/>
          <w:szCs w:val="32"/>
          <w14:ligatures w14:val="standardContextual"/>
        </w:rPr>
        <w:t>2）标准协调层面，本文件与系列标准第1部分（通用要求）、第3部分（辅助单据基本信息要求）保持高度一致性，核心参考依据包括 GB/T 22239（网络安全等级保护基本要求）、GB/T 22240（网络安全等级保护定级指南）、GB/T 28448（网络安全等级保护测评要求）、GB/T 35273（个人信息安全规范）、GB/T 39786（信息系统密码应用基本要求）、GB/T 25064（电子签名格式规范）、GB/T 35285（基于数字证书的可靠电子签名）、GB/T 7408.1（日期和时间表示）、GB/T 25346（船舶燃油供受流程）、T/CBS XXXX- 2026（船用燃料供应电子单证技术规范 第1部分：通用要求）、T/CBS XXXX- 2026（船用燃料供应电子单证技术规范 第3部分：辅助单据基本信息要求）等。</w:t>
      </w:r>
    </w:p>
    <w:p w14:paraId="36C665DA">
      <w:pPr>
        <w:adjustRightInd w:val="0"/>
        <w:snapToGrid w:val="0"/>
        <w:spacing w:line="360" w:lineRule="auto"/>
        <w:ind w:firstLine="640" w:firstLineChars="200"/>
      </w:pPr>
      <w:r>
        <w:rPr>
          <w:rFonts w:hint="eastAsia" w:eastAsia="仿宋_GB2312"/>
          <w:kern w:val="2"/>
          <w:sz w:val="32"/>
          <w:szCs w:val="32"/>
          <w14:ligatures w14:val="standardContextual"/>
        </w:rPr>
        <w:t>需特别明确的是，本文件与现行法律、行政法规、强制性国家标准及现行同类标准无冲突，在对标国际国内相关标准的基础上，立足我国航运与海事监管实际进行优化完善，与现有标准互为补充、协同配套，共同构成船用燃料供应电子单证技术标准体系。</w:t>
      </w:r>
    </w:p>
    <w:p w14:paraId="743E3F66">
      <w:pPr>
        <w:pStyle w:val="2"/>
        <w:keepNext/>
        <w:keepLines/>
        <w:adjustRightInd w:val="0"/>
        <w:snapToGrid w:val="0"/>
        <w:spacing w:before="120" w:beforeLines="50" w:after="120" w:afterLines="50"/>
      </w:pPr>
      <w:bookmarkStart w:id="13" w:name="_Toc28999"/>
      <w:r>
        <w:rPr>
          <w:rFonts w:hint="eastAsia" w:eastAsia="黑体"/>
          <w:kern w:val="44"/>
          <w:sz w:val="32"/>
          <w:szCs w:val="44"/>
          <w14:ligatures w14:val="standardContextual"/>
        </w:rPr>
        <w:t>七、重大分歧意见的处理经过和依据</w:t>
      </w:r>
      <w:bookmarkEnd w:id="13"/>
    </w:p>
    <w:p w14:paraId="131318C7">
      <w:pPr>
        <w:adjustRightInd w:val="0"/>
        <w:snapToGrid w:val="0"/>
        <w:spacing w:line="360" w:lineRule="auto"/>
        <w:ind w:firstLine="640" w:firstLineChars="200"/>
        <w:rPr>
          <w:rFonts w:eastAsia="仿宋_GB2312"/>
          <w:kern w:val="2"/>
          <w:sz w:val="32"/>
          <w:szCs w:val="32"/>
          <w14:ligatures w14:val="standardContextual"/>
        </w:rPr>
      </w:pPr>
      <w:r>
        <w:rPr>
          <w:rFonts w:hint="eastAsia" w:eastAsia="仿宋_GB2312"/>
          <w:kern w:val="2"/>
          <w:sz w:val="32"/>
          <w:szCs w:val="32"/>
          <w14:ligatures w14:val="standardContextual"/>
        </w:rPr>
        <w:t>无重大分歧。</w:t>
      </w:r>
    </w:p>
    <w:p w14:paraId="5EAA5359">
      <w:pPr>
        <w:pStyle w:val="2"/>
        <w:keepNext/>
        <w:keepLines/>
        <w:adjustRightInd w:val="0"/>
        <w:snapToGrid w:val="0"/>
        <w:spacing w:before="120" w:beforeLines="50" w:after="120" w:afterLines="50"/>
        <w:rPr>
          <w:rFonts w:eastAsia="黑体"/>
          <w:kern w:val="44"/>
          <w:sz w:val="32"/>
          <w:szCs w:val="44"/>
          <w14:ligatures w14:val="standardContextual"/>
        </w:rPr>
      </w:pPr>
      <w:bookmarkStart w:id="14" w:name="_Toc27926"/>
      <w:r>
        <w:rPr>
          <w:rFonts w:hint="eastAsia" w:eastAsia="黑体"/>
          <w:kern w:val="44"/>
          <w:sz w:val="32"/>
          <w:szCs w:val="44"/>
          <w14:ligatures w14:val="standardContextual"/>
        </w:rPr>
        <w:t>八、涉及专利的有关说明</w:t>
      </w:r>
      <w:bookmarkEnd w:id="14"/>
    </w:p>
    <w:p w14:paraId="474C5AFE">
      <w:pPr>
        <w:adjustRightInd w:val="0"/>
        <w:snapToGrid w:val="0"/>
        <w:ind w:firstLine="500"/>
        <w:rPr>
          <w:rFonts w:eastAsia="仿宋_GB2312"/>
          <w:kern w:val="2"/>
          <w:sz w:val="32"/>
          <w:szCs w:val="32"/>
          <w14:ligatures w14:val="standardContextual"/>
        </w:rPr>
      </w:pPr>
      <w:r>
        <w:rPr>
          <w:rFonts w:hint="eastAsia" w:eastAsia="仿宋_GB2312"/>
          <w:kern w:val="2"/>
          <w:sz w:val="32"/>
          <w:szCs w:val="32"/>
          <w14:ligatures w14:val="standardContextual"/>
        </w:rPr>
        <w:t>本文件不涉及必要专利。需要说明的是，本文件的某些内容可能涉及专利，本文件的发布机构不承担识别专利的责任；建议实施者在应用本文件时，就相关技术方案的知识产权状况进行必要评估。</w:t>
      </w:r>
    </w:p>
    <w:p w14:paraId="574B9E0F">
      <w:pPr>
        <w:pStyle w:val="2"/>
        <w:keepNext/>
        <w:keepLines/>
        <w:adjustRightInd w:val="0"/>
        <w:snapToGrid w:val="0"/>
        <w:spacing w:before="120" w:beforeLines="50" w:after="120" w:afterLines="50"/>
      </w:pPr>
      <w:bookmarkStart w:id="15" w:name="_Toc24916"/>
      <w:r>
        <w:rPr>
          <w:rFonts w:hint="eastAsia" w:eastAsia="黑体"/>
          <w:kern w:val="44"/>
          <w:sz w:val="32"/>
          <w:szCs w:val="44"/>
          <w14:ligatures w14:val="standardContextual"/>
        </w:rPr>
        <w:t>九、实施标准的要求，以及组织措施、技术措施、过渡期和实施日期的建议等措施建议</w:t>
      </w:r>
      <w:bookmarkEnd w:id="15"/>
    </w:p>
    <w:p w14:paraId="0AFB92D9">
      <w:pPr>
        <w:adjustRightInd w:val="0"/>
        <w:snapToGrid w:val="0"/>
        <w:spacing w:line="360" w:lineRule="auto"/>
        <w:ind w:firstLine="640" w:firstLineChars="200"/>
        <w:rPr>
          <w:rFonts w:eastAsia="仿宋_GB2312"/>
          <w:kern w:val="2"/>
          <w:sz w:val="32"/>
          <w:szCs w:val="32"/>
          <w14:ligatures w14:val="standardContextual"/>
        </w:rPr>
      </w:pPr>
      <w:r>
        <w:rPr>
          <w:rFonts w:hint="eastAsia" w:eastAsia="仿宋_GB2312"/>
          <w:kern w:val="2"/>
          <w:sz w:val="32"/>
          <w:szCs w:val="32"/>
          <w14:ligatures w14:val="standardContextual"/>
        </w:rPr>
        <w:t>（一）建议建立健全标准实施监督机制，由中国船舶燃料有限责任公司等相关单位牵头，联合行业主管部门、科研院所与监管部门，通过标准对信息平台与数据接口的技术规范实施管控引导，推动标准要求与船用燃料供应数字化、绿色化发展目标深度衔接，确保标准落地实效。</w:t>
      </w:r>
    </w:p>
    <w:p w14:paraId="703D49CC">
      <w:pPr>
        <w:adjustRightInd w:val="0"/>
        <w:snapToGrid w:val="0"/>
        <w:spacing w:line="360" w:lineRule="auto"/>
        <w:ind w:firstLine="640" w:firstLineChars="200"/>
        <w:rPr>
          <w:rFonts w:eastAsia="仿宋_GB2312"/>
          <w:kern w:val="2"/>
          <w:sz w:val="32"/>
          <w:szCs w:val="32"/>
          <w14:ligatures w14:val="standardContextual"/>
        </w:rPr>
      </w:pPr>
      <w:r>
        <w:rPr>
          <w:rFonts w:hint="eastAsia" w:eastAsia="仿宋_GB2312"/>
          <w:kern w:val="2"/>
          <w:sz w:val="32"/>
          <w:szCs w:val="32"/>
          <w14:ligatures w14:val="standardContextual"/>
        </w:rPr>
        <w:t>（二）建议设立常态化标准反馈渠道，通过线上反馈平台、专项调研、企业座谈会等形式，系统收集信息平台建设单位、系统集成商、监管单位在实施过程中遇到的技术问题、接口适配问题与优化建议；在此基础上，定期开展标准实施效果评估，结合航运数字化、绿色燃料及监管政策迭代等新需求，适时启动标准修订工作，持续保障标准的科学性、实用性与时效性。</w:t>
      </w:r>
    </w:p>
    <w:p w14:paraId="7A45156F">
      <w:pPr>
        <w:adjustRightInd w:val="0"/>
        <w:snapToGrid w:val="0"/>
        <w:spacing w:line="360" w:lineRule="auto"/>
        <w:ind w:firstLine="640" w:firstLineChars="200"/>
      </w:pPr>
      <w:r>
        <w:rPr>
          <w:rFonts w:hint="eastAsia" w:eastAsia="仿宋_GB2312"/>
          <w:kern w:val="2"/>
          <w:sz w:val="32"/>
          <w:szCs w:val="32"/>
          <w14:ligatures w14:val="standardContextual"/>
        </w:rPr>
        <w:t>（三）建议给予本文件发布后3~6个月的过渡期，以便各参与方熟悉文件内容、数据元字典、接口规范及相关前期准备工作，确保团体标准平稳落地。</w:t>
      </w:r>
    </w:p>
    <w:p w14:paraId="47544D1E">
      <w:pPr>
        <w:pStyle w:val="2"/>
        <w:keepNext/>
        <w:keepLines/>
        <w:adjustRightInd w:val="0"/>
        <w:snapToGrid w:val="0"/>
        <w:spacing w:before="120" w:beforeLines="50" w:after="120" w:afterLines="50"/>
        <w:rPr>
          <w:rFonts w:eastAsia="黑体"/>
          <w:kern w:val="44"/>
          <w:sz w:val="32"/>
          <w:szCs w:val="44"/>
          <w14:ligatures w14:val="standardContextual"/>
        </w:rPr>
      </w:pPr>
      <w:bookmarkStart w:id="16" w:name="_Toc18061"/>
      <w:r>
        <w:rPr>
          <w:rFonts w:hint="eastAsia" w:eastAsia="黑体"/>
          <w:kern w:val="44"/>
          <w:sz w:val="32"/>
          <w:szCs w:val="44"/>
          <w14:ligatures w14:val="standardContextual"/>
        </w:rPr>
        <w:t>十、其他应当说明的事项</w:t>
      </w:r>
      <w:bookmarkEnd w:id="16"/>
    </w:p>
    <w:p w14:paraId="081F533D">
      <w:pPr>
        <w:adjustRightInd w:val="0"/>
        <w:snapToGrid w:val="0"/>
        <w:spacing w:line="360" w:lineRule="auto"/>
        <w:ind w:firstLine="640" w:firstLineChars="200"/>
        <w:rPr>
          <w:rFonts w:eastAsia="仿宋_GB2312"/>
          <w:kern w:val="2"/>
          <w:sz w:val="32"/>
          <w:szCs w:val="32"/>
          <w14:ligatures w14:val="standardContextual"/>
        </w:rPr>
      </w:pPr>
      <w:r>
        <w:rPr>
          <w:rFonts w:hint="eastAsia" w:eastAsia="仿宋_GB2312"/>
          <w:kern w:val="2"/>
          <w:sz w:val="32"/>
          <w:szCs w:val="32"/>
          <w14:ligatures w14:val="standardContextual"/>
        </w:rPr>
        <w:t>无。</w:t>
      </w:r>
    </w:p>
    <w:sectPr>
      <w:footerReference r:id="rId3" w:type="default"/>
      <w:pgSz w:w="11906" w:h="16838"/>
      <w:pgMar w:top="1440" w:right="1440" w:bottom="1440" w:left="1440" w:header="708" w:footer="708" w:gutter="0"/>
      <w:pgNumType w:fmt="upperRoman" w:start="2"/>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思源黑体">
    <w:altName w:val="黑体"/>
    <w:panose1 w:val="00000000000000000000"/>
    <w:charset w:val="86"/>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4F551">
    <w:pPr>
      <w:jc w:val="center"/>
    </w:pPr>
  </w:p>
  <w:p w14:paraId="440401C9">
    <w:pPr>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E81492">
                          <w:pPr>
                            <w:pStyle w:val="9"/>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AE81492">
                    <w:pPr>
                      <w:pStyle w:val="9"/>
                    </w:pPr>
                    <w:r>
                      <w:fldChar w:fldCharType="begin"/>
                    </w:r>
                    <w:r>
                      <w:instrText xml:space="preserve"> PAGE  \* MERGEFORMAT </w:instrText>
                    </w:r>
                    <w:r>
                      <w:fldChar w:fldCharType="separate"/>
                    </w:r>
                    <w:r>
                      <w:t>I</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decimal"/>
      <w:pStyle w:val="23"/>
      <w:suff w:val="nothing"/>
      <w:lvlText w:val="%1　"/>
      <w:lvlJc w:val="left"/>
      <w:pPr>
        <w:ind w:left="142" w:firstLine="0"/>
      </w:pPr>
      <w:rPr>
        <w:rFonts w:hint="default" w:ascii="黑体" w:hAnsi="Times New Roman" w:eastAsia="黑体"/>
        <w:b w:val="0"/>
        <w:i w:val="0"/>
        <w:sz w:val="32"/>
        <w:szCs w:val="32"/>
      </w:rPr>
    </w:lvl>
    <w:lvl w:ilvl="1" w:tentative="0">
      <w:start w:val="1"/>
      <w:numFmt w:val="decimal"/>
      <w:suff w:val="nothing"/>
      <w:lvlText w:val="%1.%2　"/>
      <w:lvlJc w:val="left"/>
      <w:pPr>
        <w:ind w:left="992" w:firstLine="0"/>
      </w:pPr>
      <w:rPr>
        <w:rFonts w:hint="default" w:ascii="黑体" w:hAnsi="Times New Roman" w:eastAsia="黑体" w:cs="Times New Roman"/>
        <w:b w:val="0"/>
        <w:bCs w:val="0"/>
        <w:i w:val="0"/>
        <w:iCs w:val="0"/>
        <w:caps w:val="0"/>
        <w:vanish w:val="0"/>
        <w:color w:val="000000"/>
        <w:spacing w:val="0"/>
        <w:kern w:val="0"/>
        <w:position w:val="0"/>
        <w:sz w:val="32"/>
        <w:szCs w:val="32"/>
        <w:u w:val="none"/>
        <w:vertAlign w:val="baseline"/>
        <w14:shadow w14:blurRad="0" w14:dist="0" w14:dir="0" w14:sx="0" w14:sy="0" w14:kx="0" w14:ky="0" w14:algn="none">
          <w14:srgbClr w14:val="000000"/>
        </w14:shadow>
      </w:rPr>
    </w:lvl>
    <w:lvl w:ilvl="2" w:tentative="0">
      <w:start w:val="1"/>
      <w:numFmt w:val="decimal"/>
      <w:suff w:val="nothing"/>
      <w:lvlText w:val="%1.%2.%3　"/>
      <w:lvlJc w:val="left"/>
      <w:pPr>
        <w:ind w:left="3969" w:firstLine="0"/>
      </w:pPr>
      <w:rPr>
        <w:rFonts w:hint="default" w:ascii="黑体" w:hAnsi="Times New Roman" w:eastAsia="黑体"/>
        <w:b w:val="0"/>
        <w:i w:val="0"/>
        <w:sz w:val="32"/>
        <w:szCs w:val="28"/>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revisionView w:markup="0"/>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459"/>
    <w:rsid w:val="0016052A"/>
    <w:rsid w:val="002E0745"/>
    <w:rsid w:val="0062065A"/>
    <w:rsid w:val="006D00C5"/>
    <w:rsid w:val="006D69E5"/>
    <w:rsid w:val="008610AD"/>
    <w:rsid w:val="008B3459"/>
    <w:rsid w:val="00CC212A"/>
    <w:rsid w:val="00D77972"/>
    <w:rsid w:val="03CA7474"/>
    <w:rsid w:val="05B67790"/>
    <w:rsid w:val="09604CA5"/>
    <w:rsid w:val="16665322"/>
    <w:rsid w:val="1AB902D5"/>
    <w:rsid w:val="1C962F19"/>
    <w:rsid w:val="216A4989"/>
    <w:rsid w:val="27AF5148"/>
    <w:rsid w:val="27E77C0F"/>
    <w:rsid w:val="29E7300B"/>
    <w:rsid w:val="2A821F7F"/>
    <w:rsid w:val="2F561E0E"/>
    <w:rsid w:val="388B3E9B"/>
    <w:rsid w:val="4CD36C8D"/>
    <w:rsid w:val="59A57D21"/>
    <w:rsid w:val="5B2941C2"/>
    <w:rsid w:val="5D9E51B4"/>
    <w:rsid w:val="606A154F"/>
    <w:rsid w:val="63A4104A"/>
    <w:rsid w:val="642A53C1"/>
    <w:rsid w:val="64750A9E"/>
    <w:rsid w:val="6AAB47F8"/>
    <w:rsid w:val="72614EEC"/>
    <w:rsid w:val="739347FA"/>
    <w:rsid w:val="742672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思源黑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iPriority="99" w:name="endnote reference"/>
    <w:lsdException w:qFormat="1" w:uiPriority="99"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思源黑体" w:cs="Times New Roman"/>
      <w:sz w:val="24"/>
      <w:szCs w:val="24"/>
      <w:lang w:val="en-US" w:eastAsia="zh-CN" w:bidi="ar-SA"/>
    </w:rPr>
  </w:style>
  <w:style w:type="paragraph" w:styleId="2">
    <w:name w:val="heading 1"/>
    <w:basedOn w:val="1"/>
    <w:next w:val="1"/>
    <w:qFormat/>
    <w:uiPriority w:val="0"/>
    <w:pPr>
      <w:spacing w:before="240" w:after="160" w:line="360" w:lineRule="auto"/>
      <w:outlineLvl w:val="0"/>
    </w:pPr>
    <w:rPr>
      <w:b/>
      <w:bCs/>
      <w:sz w:val="30"/>
      <w:szCs w:val="30"/>
    </w:rPr>
  </w:style>
  <w:style w:type="paragraph" w:styleId="3">
    <w:name w:val="heading 2"/>
    <w:next w:val="1"/>
    <w:qFormat/>
    <w:uiPriority w:val="0"/>
    <w:pPr>
      <w:spacing w:before="180" w:after="120" w:line="360" w:lineRule="auto"/>
      <w:outlineLvl w:val="1"/>
    </w:pPr>
    <w:rPr>
      <w:rFonts w:ascii="Times New Roman" w:hAnsi="Times New Roman" w:eastAsia="思源黑体" w:cs="Times New Roman"/>
      <w:b/>
      <w:bCs/>
      <w:sz w:val="26"/>
      <w:szCs w:val="26"/>
      <w:lang w:val="en-US" w:eastAsia="zh-CN" w:bidi="ar-SA"/>
    </w:rPr>
  </w:style>
  <w:style w:type="paragraph" w:styleId="4">
    <w:name w:val="heading 3"/>
    <w:next w:val="1"/>
    <w:qFormat/>
    <w:uiPriority w:val="0"/>
    <w:pPr>
      <w:spacing w:line="360" w:lineRule="auto"/>
      <w:outlineLvl w:val="2"/>
    </w:pPr>
    <w:rPr>
      <w:rFonts w:ascii="Times New Roman" w:hAnsi="Times New Roman" w:eastAsia="思源黑体" w:cs="Times New Roman"/>
      <w:color w:val="1F4D78"/>
      <w:sz w:val="24"/>
      <w:szCs w:val="24"/>
      <w:lang w:val="en-US" w:eastAsia="zh-CN" w:bidi="ar-SA"/>
    </w:rPr>
  </w:style>
  <w:style w:type="paragraph" w:styleId="5">
    <w:name w:val="heading 4"/>
    <w:next w:val="1"/>
    <w:qFormat/>
    <w:uiPriority w:val="0"/>
    <w:pPr>
      <w:spacing w:line="360" w:lineRule="auto"/>
      <w:outlineLvl w:val="3"/>
    </w:pPr>
    <w:rPr>
      <w:rFonts w:ascii="Times New Roman" w:hAnsi="Times New Roman" w:eastAsia="思源黑体" w:cs="Times New Roman"/>
      <w:i/>
      <w:iCs/>
      <w:color w:val="2E74B5"/>
      <w:sz w:val="24"/>
      <w:szCs w:val="24"/>
      <w:lang w:val="en-US" w:eastAsia="zh-CN" w:bidi="ar-SA"/>
    </w:rPr>
  </w:style>
  <w:style w:type="paragraph" w:styleId="6">
    <w:name w:val="heading 5"/>
    <w:next w:val="1"/>
    <w:qFormat/>
    <w:uiPriority w:val="0"/>
    <w:pPr>
      <w:spacing w:line="360" w:lineRule="auto"/>
      <w:outlineLvl w:val="4"/>
    </w:pPr>
    <w:rPr>
      <w:rFonts w:ascii="Times New Roman" w:hAnsi="Times New Roman" w:eastAsia="思源黑体" w:cs="Times New Roman"/>
      <w:color w:val="2E74B5"/>
      <w:sz w:val="24"/>
      <w:szCs w:val="24"/>
      <w:lang w:val="en-US" w:eastAsia="zh-CN" w:bidi="ar-SA"/>
    </w:rPr>
  </w:style>
  <w:style w:type="paragraph" w:styleId="7">
    <w:name w:val="heading 6"/>
    <w:next w:val="1"/>
    <w:qFormat/>
    <w:uiPriority w:val="0"/>
    <w:pPr>
      <w:spacing w:line="360" w:lineRule="auto"/>
      <w:outlineLvl w:val="5"/>
    </w:pPr>
    <w:rPr>
      <w:rFonts w:ascii="Times New Roman" w:hAnsi="Times New Roman" w:eastAsia="思源黑体" w:cs="Times New Roman"/>
      <w:color w:val="1F4D78"/>
      <w:sz w:val="24"/>
      <w:szCs w:val="24"/>
      <w:lang w:val="en-US" w:eastAsia="zh-CN" w:bidi="ar-SA"/>
    </w:rPr>
  </w:style>
  <w:style w:type="character" w:default="1" w:styleId="16">
    <w:name w:val="Default Paragraph Font"/>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8">
    <w:name w:val="endnote text"/>
    <w:link w:val="22"/>
    <w:semiHidden/>
    <w:unhideWhenUsed/>
    <w:qFormat/>
    <w:uiPriority w:val="99"/>
    <w:rPr>
      <w:rFonts w:ascii="Times New Roman" w:hAnsi="Times New Roman" w:eastAsia="思源黑体" w:cs="Times New Roman"/>
      <w:lang w:val="en-US" w:eastAsia="zh-CN" w:bidi="ar-SA"/>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1"/>
    <w:basedOn w:val="1"/>
    <w:next w:val="1"/>
    <w:qFormat/>
    <w:uiPriority w:val="0"/>
  </w:style>
  <w:style w:type="paragraph" w:styleId="12">
    <w:name w:val="footnote text"/>
    <w:link w:val="21"/>
    <w:semiHidden/>
    <w:unhideWhenUsed/>
    <w:qFormat/>
    <w:uiPriority w:val="99"/>
    <w:rPr>
      <w:rFonts w:ascii="Times New Roman" w:hAnsi="Times New Roman" w:eastAsia="思源黑体" w:cs="Times New Roman"/>
      <w:lang w:val="en-US" w:eastAsia="zh-CN" w:bidi="ar-SA"/>
    </w:rPr>
  </w:style>
  <w:style w:type="paragraph" w:styleId="13">
    <w:name w:val="toc 2"/>
    <w:basedOn w:val="1"/>
    <w:next w:val="1"/>
    <w:qFormat/>
    <w:uiPriority w:val="0"/>
    <w:pPr>
      <w:ind w:left="420" w:leftChars="200"/>
    </w:pPr>
  </w:style>
  <w:style w:type="paragraph" w:styleId="14">
    <w:name w:val="Title"/>
    <w:qFormat/>
    <w:uiPriority w:val="0"/>
    <w:pPr>
      <w:spacing w:line="360" w:lineRule="auto"/>
    </w:pPr>
    <w:rPr>
      <w:rFonts w:ascii="Times New Roman" w:hAnsi="Times New Roman" w:eastAsia="思源黑体" w:cs="Times New Roman"/>
      <w:sz w:val="56"/>
      <w:szCs w:val="56"/>
      <w:lang w:val="en-US" w:eastAsia="zh-CN" w:bidi="ar-SA"/>
    </w:rPr>
  </w:style>
  <w:style w:type="character" w:styleId="17">
    <w:name w:val="endnote reference"/>
    <w:semiHidden/>
    <w:unhideWhenUsed/>
    <w:qFormat/>
    <w:uiPriority w:val="99"/>
    <w:rPr>
      <w:vertAlign w:val="superscript"/>
    </w:rPr>
  </w:style>
  <w:style w:type="character" w:styleId="18">
    <w:name w:val="Hyperlink"/>
    <w:unhideWhenUsed/>
    <w:qFormat/>
    <w:uiPriority w:val="99"/>
    <w:rPr>
      <w:color w:val="0563C1"/>
      <w:u w:val="single"/>
    </w:rPr>
  </w:style>
  <w:style w:type="character" w:styleId="19">
    <w:name w:val="footnote reference"/>
    <w:semiHidden/>
    <w:unhideWhenUsed/>
    <w:qFormat/>
    <w:uiPriority w:val="99"/>
    <w:rPr>
      <w:vertAlign w:val="superscript"/>
    </w:rPr>
  </w:style>
  <w:style w:type="paragraph" w:styleId="20">
    <w:name w:val="List Paragraph"/>
    <w:qFormat/>
    <w:uiPriority w:val="0"/>
    <w:pPr>
      <w:spacing w:line="360" w:lineRule="auto"/>
    </w:pPr>
    <w:rPr>
      <w:rFonts w:ascii="Times New Roman" w:hAnsi="Times New Roman" w:eastAsia="思源黑体" w:cs="Times New Roman"/>
      <w:sz w:val="24"/>
      <w:szCs w:val="24"/>
      <w:lang w:val="en-US" w:eastAsia="zh-CN" w:bidi="ar-SA"/>
    </w:rPr>
  </w:style>
  <w:style w:type="character" w:customStyle="1" w:styleId="21">
    <w:name w:val="脚注文本 字符"/>
    <w:link w:val="12"/>
    <w:semiHidden/>
    <w:unhideWhenUsed/>
    <w:qFormat/>
    <w:uiPriority w:val="99"/>
    <w:rPr>
      <w:sz w:val="20"/>
      <w:szCs w:val="20"/>
    </w:rPr>
  </w:style>
  <w:style w:type="character" w:customStyle="1" w:styleId="22">
    <w:name w:val="尾注文本 字符"/>
    <w:link w:val="8"/>
    <w:semiHidden/>
    <w:unhideWhenUsed/>
    <w:qFormat/>
    <w:uiPriority w:val="99"/>
    <w:rPr>
      <w:sz w:val="20"/>
      <w:szCs w:val="20"/>
    </w:rPr>
  </w:style>
  <w:style w:type="paragraph" w:customStyle="1" w:styleId="23">
    <w:name w:val="章标题"/>
    <w:next w:val="24"/>
    <w:qFormat/>
    <w:uiPriority w:val="0"/>
    <w:pPr>
      <w:numPr>
        <w:ilvl w:val="0"/>
        <w:numId w:val="1"/>
      </w:numPr>
      <w:spacing w:before="312" w:beforeLines="100" w:after="312" w:afterLines="100"/>
      <w:jc w:val="both"/>
      <w:outlineLvl w:val="1"/>
    </w:pPr>
    <w:rPr>
      <w:rFonts w:ascii="黑体" w:hAnsi="Times New Roman" w:eastAsia="黑体" w:cs="Times New Roman"/>
      <w:sz w:val="21"/>
      <w:lang w:val="en-US" w:eastAsia="zh-CN" w:bidi="ar-SA"/>
    </w:rPr>
  </w:style>
  <w:style w:type="paragraph" w:customStyle="1" w:styleId="24">
    <w:name w:val="段"/>
    <w:qFormat/>
    <w:uiPriority w:val="0"/>
    <w:pPr>
      <w:autoSpaceDE w:val="0"/>
      <w:autoSpaceDN w:val="0"/>
      <w:ind w:firstLine="42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1473</Words>
  <Characters>1552</Characters>
  <Lines>224</Lines>
  <Paragraphs>114</Paragraphs>
  <TotalTime>36</TotalTime>
  <ScaleCrop>false</ScaleCrop>
  <LinksUpToDate>false</LinksUpToDate>
  <CharactersWithSpaces>1611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2026-09-10T06:54:00Z</dcterms:created>
  <dc:creator>Un-named</dc:creator>
  <cp:lastModifiedBy>成文静</cp:lastModifiedBy>
  <dcterms:modified xsi:type="dcterms:W3CDTF">2026-10-08T09:25:39Z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{"Label":"1","ContentProducer":"001191440300708461136T1WFUO","ProduceID":"ee480608116113f0ff160b342f4da533-ORBa","ReservedCode1":"{\"Type\":\" TC260PG\",\"Version\":1,\"Bindings\":[{\"Type\":\"soft\",\"AlgID\":\"sm3\",\"Value\":\"21b63cbbe52fe77c1d29df9255996febefc05cbfd84b43666c0b1c8bc994c01e\"},{\"Type\":\"hash\",\"AlgID\":\"sm3\",\"Value\":\"6fc330387a9bc3c99ad797b75d6b7e965eed9337e3665a6d16bf7aa6c3f0230b\"}],\"PubSD\":[{\"Type\":\"DS\",\"AlgID\":\"sm2\",\"TBSData\":{\"Type\":\"Binding\",\"BType\":\"hash\"},\"Signature\":\"3046022100a2ab2dc7c3427652eeb45f5f3756f202a72372402a105b861d64664248aaaacb022100efaea30313af7d6b7933dd4234150068893fce94deafa6564c389c66498ac8e6\"},{\"Type\":\"PubKey\",\"AlgID\":\"sm2\",\"KeyValue\":\"0407f79b28a17a752b3aae4305c98b48978213832729a2571850b1310b2bc9fe8fee039ccf25ebfeac27502414d9fcef792d777183c98893d226171c2f7a3289a2\"}],\"Extension\":{\"Timestamp\":1791449145,\"KeyVersion\":\"v1-TxLeOmf7bqU223\"}}","ContentPropagator":"001191440300708461136T1WFUO","PropagateID":"ee480608116113f0ff160b342f4da533-ORBa","ReservedCode2":"{\"Type\":\" TC260PG\",\"Version\":1,\"Bindings\":[{\"Type\":\"soft\",\"AlgID\":\"sm3\",\"Value\":\"21b63cbbe52fe77c1d29df9255996febefc05cbfd84b43666c0b1c8bc994c01e\"},{\"Type\":\"hash\",\"AlgID\":\"sm3\",\"Value\":\"6fc330387a9bc3c99ad797b75d6b7e965eed9337e3665a6d16bf7aa6c3f0230b\"}],\"PubSD\":[{\"Type\":\"DS\",\"AlgID\":\"sm2\",\"TBSData\":{\"Type\":\"Binding\",\"BType\":\"hash\"},\"Signature\":\"3046022100cb278a1f954bf82a5e8cfd248a19d0fd7f50033b2353ce60a71b0a1497e0f802022100fc810750b1d3f1dfc9e28fdffc8a7e0a2e8650d1a7f3b0160dda733e9b0568e4\"},{\"Type\":\"PubKey\",\"AlgID\":\"sm2\",\"KeyValue\":\"0407f79b28a17a752b3aae4305c98b48978213832729a2571850b1310b2bc9fe8fee039ccf25ebfeac27502414d9fcef792d777183c98893d226171c2f7a3289a2\"}],\"Extension\":{\"Timestamp\":1791449145,\"KeyVersion\":\"v1-TxLeOmf7bqU223\"}}"}</vt:lpwstr>
  </property>
  <property fmtid="{D5CDD505-2E9C-101B-9397-08002B2CF9AE}" pid="3" name="KSOTemplateDocerSaveRecord">
    <vt:lpwstr>eyJoZGlkIjoiN2YwNDEwMzIxYjFhMDlkZmY2M2QzMmZmOTJkYjVhMTkiLCJ1c2VySWQiOiIzNzAyMjgxNTIifQ==</vt:lpwstr>
  </property>
  <property fmtid="{D5CDD505-2E9C-101B-9397-08002B2CF9AE}" pid="4" name="KSOProductBuildVer">
    <vt:lpwstr>2052-12.1.0.28505</vt:lpwstr>
  </property>
  <property fmtid="{D5CDD505-2E9C-101B-9397-08002B2CF9AE}" pid="5" name="ICV">
    <vt:lpwstr>2A17094EF76D478BA291A0A840D6C264_12</vt:lpwstr>
  </property>
</Properties>
</file>