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0C408" w14:textId="77777777" w:rsidR="00B84ABE" w:rsidRDefault="00B84ABE">
      <w:pPr>
        <w:adjustRightInd w:val="0"/>
        <w:snapToGrid w:val="0"/>
        <w:rPr>
          <w:rFonts w:eastAsia="仿宋_GB2312"/>
        </w:rPr>
      </w:pPr>
    </w:p>
    <w:p w14:paraId="273D25B3" w14:textId="77777777" w:rsidR="00B84ABE" w:rsidRDefault="00B84ABE">
      <w:pPr>
        <w:adjustRightInd w:val="0"/>
        <w:snapToGrid w:val="0"/>
        <w:rPr>
          <w:rFonts w:eastAsia="仿宋_GB2312"/>
        </w:rPr>
      </w:pPr>
    </w:p>
    <w:p w14:paraId="6FDBFFBE" w14:textId="77777777" w:rsidR="00B84ABE" w:rsidRDefault="00B84ABE">
      <w:pPr>
        <w:adjustRightInd w:val="0"/>
        <w:snapToGrid w:val="0"/>
        <w:rPr>
          <w:rFonts w:eastAsia="仿宋_GB2312"/>
        </w:rPr>
      </w:pPr>
    </w:p>
    <w:p w14:paraId="65EF134F" w14:textId="77777777" w:rsidR="00B84ABE" w:rsidRDefault="00B84ABE">
      <w:pPr>
        <w:adjustRightInd w:val="0"/>
        <w:snapToGrid w:val="0"/>
        <w:ind w:firstLine="960"/>
        <w:rPr>
          <w:rFonts w:eastAsia="仿宋_GB2312"/>
          <w:sz w:val="48"/>
          <w:szCs w:val="48"/>
        </w:rPr>
      </w:pPr>
    </w:p>
    <w:p w14:paraId="1FC49E22" w14:textId="77777777" w:rsidR="00B84ABE" w:rsidRDefault="00000000">
      <w:pPr>
        <w:adjustRightInd w:val="0"/>
        <w:snapToGrid w:val="0"/>
        <w:ind w:firstLineChars="0" w:firstLine="0"/>
        <w:jc w:val="center"/>
        <w:rPr>
          <w:rFonts w:eastAsia="黑体"/>
          <w:sz w:val="44"/>
          <w:szCs w:val="44"/>
        </w:rPr>
      </w:pPr>
      <w:bookmarkStart w:id="0" w:name="OLE_LINK6"/>
      <w:r>
        <w:rPr>
          <w:rFonts w:eastAsia="黑体"/>
          <w:sz w:val="44"/>
          <w:szCs w:val="44"/>
        </w:rPr>
        <w:t>船用燃料供应电子单证技术规范</w:t>
      </w:r>
    </w:p>
    <w:p w14:paraId="54F34F6C" w14:textId="6608C626" w:rsidR="00B84ABE" w:rsidRDefault="006B4001">
      <w:pPr>
        <w:adjustRightInd w:val="0"/>
        <w:snapToGrid w:val="0"/>
        <w:ind w:firstLineChars="0" w:firstLine="0"/>
        <w:jc w:val="center"/>
        <w:rPr>
          <w:rFonts w:eastAsia="黑体"/>
          <w:sz w:val="44"/>
          <w:szCs w:val="44"/>
        </w:rPr>
      </w:pPr>
      <w:r>
        <w:rPr>
          <w:rFonts w:eastAsia="黑体" w:hint="eastAsia"/>
          <w:sz w:val="44"/>
          <w:szCs w:val="44"/>
        </w:rPr>
        <w:t>第</w:t>
      </w:r>
      <w:r>
        <w:rPr>
          <w:rFonts w:eastAsia="黑体" w:hint="eastAsia"/>
          <w:sz w:val="44"/>
          <w:szCs w:val="44"/>
        </w:rPr>
        <w:t>3</w:t>
      </w:r>
      <w:r>
        <w:rPr>
          <w:rFonts w:eastAsia="黑体" w:hint="eastAsia"/>
          <w:sz w:val="44"/>
          <w:szCs w:val="44"/>
        </w:rPr>
        <w:t>部分：</w:t>
      </w:r>
      <w:r w:rsidRPr="006B4001">
        <w:rPr>
          <w:rFonts w:eastAsia="黑体"/>
          <w:sz w:val="44"/>
          <w:szCs w:val="44"/>
        </w:rPr>
        <w:t>辅助单据基本信息要</w:t>
      </w:r>
      <w:r>
        <w:rPr>
          <w:rFonts w:eastAsia="黑体" w:hint="eastAsia"/>
          <w:sz w:val="44"/>
          <w:szCs w:val="44"/>
        </w:rPr>
        <w:t>求</w:t>
      </w:r>
    </w:p>
    <w:p w14:paraId="153AD09B" w14:textId="77777777" w:rsidR="00B84ABE" w:rsidRDefault="00B84ABE">
      <w:pPr>
        <w:adjustRightInd w:val="0"/>
        <w:snapToGrid w:val="0"/>
        <w:ind w:firstLineChars="0" w:firstLine="0"/>
        <w:jc w:val="center"/>
        <w:rPr>
          <w:rFonts w:eastAsia="黑体"/>
          <w:sz w:val="44"/>
          <w:szCs w:val="44"/>
        </w:rPr>
      </w:pPr>
    </w:p>
    <w:bookmarkEnd w:id="0"/>
    <w:p w14:paraId="0C619324" w14:textId="77777777" w:rsidR="00B84ABE" w:rsidRDefault="00000000">
      <w:pPr>
        <w:adjustRightInd w:val="0"/>
        <w:snapToGrid w:val="0"/>
        <w:ind w:firstLineChars="0" w:firstLine="0"/>
        <w:jc w:val="center"/>
        <w:rPr>
          <w:rFonts w:eastAsia="黑体"/>
          <w:sz w:val="44"/>
          <w:szCs w:val="44"/>
        </w:rPr>
      </w:pPr>
      <w:r>
        <w:rPr>
          <w:rFonts w:eastAsia="黑体" w:hint="eastAsia"/>
          <w:sz w:val="44"/>
          <w:szCs w:val="44"/>
        </w:rPr>
        <w:t>（征求意见稿）</w:t>
      </w:r>
    </w:p>
    <w:p w14:paraId="165694D6" w14:textId="77777777" w:rsidR="00B84ABE" w:rsidRDefault="00B84ABE">
      <w:pPr>
        <w:adjustRightInd w:val="0"/>
        <w:snapToGrid w:val="0"/>
        <w:ind w:firstLineChars="0" w:firstLine="0"/>
        <w:jc w:val="center"/>
        <w:rPr>
          <w:rFonts w:eastAsia="黑体"/>
          <w:sz w:val="44"/>
          <w:szCs w:val="44"/>
        </w:rPr>
      </w:pPr>
    </w:p>
    <w:p w14:paraId="12989788" w14:textId="77777777" w:rsidR="00B84ABE" w:rsidRDefault="00000000">
      <w:pPr>
        <w:adjustRightInd w:val="0"/>
        <w:snapToGrid w:val="0"/>
        <w:ind w:firstLineChars="0" w:firstLine="0"/>
        <w:jc w:val="center"/>
        <w:rPr>
          <w:rFonts w:eastAsia="黑体"/>
          <w:sz w:val="44"/>
          <w:szCs w:val="44"/>
        </w:rPr>
      </w:pPr>
      <w:r>
        <w:rPr>
          <w:rFonts w:eastAsia="黑体"/>
          <w:sz w:val="44"/>
          <w:szCs w:val="44"/>
        </w:rPr>
        <w:t>编制说明</w:t>
      </w:r>
    </w:p>
    <w:p w14:paraId="02FA0252" w14:textId="77777777" w:rsidR="00B84ABE" w:rsidRDefault="00B84ABE">
      <w:pPr>
        <w:adjustRightInd w:val="0"/>
        <w:snapToGrid w:val="0"/>
        <w:rPr>
          <w:rFonts w:eastAsia="仿宋_GB2312"/>
        </w:rPr>
      </w:pPr>
    </w:p>
    <w:p w14:paraId="4C37A2F5" w14:textId="77777777" w:rsidR="00B84ABE" w:rsidRDefault="00B84ABE">
      <w:pPr>
        <w:adjustRightInd w:val="0"/>
        <w:snapToGrid w:val="0"/>
        <w:rPr>
          <w:rFonts w:eastAsia="仿宋_GB2312"/>
        </w:rPr>
      </w:pPr>
    </w:p>
    <w:p w14:paraId="0D73806E" w14:textId="77777777" w:rsidR="00B84ABE" w:rsidRDefault="00B84ABE">
      <w:pPr>
        <w:adjustRightInd w:val="0"/>
        <w:snapToGrid w:val="0"/>
        <w:rPr>
          <w:rFonts w:eastAsia="仿宋_GB2312"/>
        </w:rPr>
      </w:pPr>
    </w:p>
    <w:p w14:paraId="2312A3E6" w14:textId="77777777" w:rsidR="00B84ABE" w:rsidRDefault="00B84ABE">
      <w:pPr>
        <w:adjustRightInd w:val="0"/>
        <w:snapToGrid w:val="0"/>
        <w:rPr>
          <w:rFonts w:eastAsia="仿宋_GB2312"/>
        </w:rPr>
      </w:pPr>
    </w:p>
    <w:p w14:paraId="1D268147" w14:textId="77777777" w:rsidR="00B84ABE" w:rsidRDefault="00B84ABE">
      <w:pPr>
        <w:adjustRightInd w:val="0"/>
        <w:snapToGrid w:val="0"/>
        <w:rPr>
          <w:rFonts w:eastAsia="仿宋_GB2312"/>
        </w:rPr>
      </w:pPr>
    </w:p>
    <w:p w14:paraId="693A48A6" w14:textId="77777777" w:rsidR="00B84ABE" w:rsidRDefault="00B84ABE">
      <w:pPr>
        <w:adjustRightInd w:val="0"/>
        <w:snapToGrid w:val="0"/>
        <w:rPr>
          <w:rFonts w:eastAsia="仿宋_GB2312"/>
        </w:rPr>
      </w:pPr>
    </w:p>
    <w:p w14:paraId="7C01E98F" w14:textId="77777777" w:rsidR="00B84ABE" w:rsidRDefault="00B84ABE">
      <w:pPr>
        <w:adjustRightInd w:val="0"/>
        <w:snapToGrid w:val="0"/>
        <w:rPr>
          <w:rFonts w:eastAsia="仿宋_GB2312"/>
        </w:rPr>
      </w:pPr>
    </w:p>
    <w:p w14:paraId="706A0A4F" w14:textId="77777777" w:rsidR="00B84ABE" w:rsidRDefault="00B84ABE">
      <w:pPr>
        <w:adjustRightInd w:val="0"/>
        <w:snapToGrid w:val="0"/>
        <w:rPr>
          <w:rFonts w:eastAsia="仿宋_GB2312"/>
        </w:rPr>
      </w:pPr>
    </w:p>
    <w:p w14:paraId="2F1A602D" w14:textId="77777777" w:rsidR="00B84ABE" w:rsidRDefault="00000000">
      <w:pPr>
        <w:adjustRightInd w:val="0"/>
        <w:snapToGrid w:val="0"/>
        <w:ind w:firstLineChars="0" w:firstLine="0"/>
        <w:jc w:val="center"/>
        <w:rPr>
          <w:rFonts w:eastAsia="宋体"/>
          <w:b/>
          <w:bCs/>
          <w:sz w:val="36"/>
          <w:szCs w:val="36"/>
        </w:rPr>
      </w:pPr>
      <w:r>
        <w:rPr>
          <w:rFonts w:eastAsia="宋体" w:hint="eastAsia"/>
          <w:b/>
          <w:bCs/>
        </w:rPr>
        <w:t>标准编制组</w:t>
      </w:r>
    </w:p>
    <w:p w14:paraId="21E87258" w14:textId="77777777" w:rsidR="00B84ABE" w:rsidRDefault="00000000">
      <w:pPr>
        <w:adjustRightInd w:val="0"/>
        <w:snapToGrid w:val="0"/>
        <w:ind w:firstLineChars="0" w:firstLine="0"/>
        <w:jc w:val="center"/>
        <w:rPr>
          <w:rFonts w:eastAsia="宋体"/>
          <w:b/>
          <w:bCs/>
        </w:rPr>
      </w:pPr>
      <w:r>
        <w:rPr>
          <w:rFonts w:eastAsia="宋体"/>
          <w:b/>
          <w:bCs/>
        </w:rPr>
        <w:t>202</w:t>
      </w:r>
      <w:r>
        <w:rPr>
          <w:rFonts w:eastAsia="宋体" w:hint="eastAsia"/>
          <w:b/>
          <w:bCs/>
        </w:rPr>
        <w:t>6</w:t>
      </w:r>
      <w:r>
        <w:rPr>
          <w:rFonts w:eastAsia="宋体"/>
          <w:b/>
          <w:bCs/>
        </w:rPr>
        <w:t>年</w:t>
      </w:r>
      <w:r>
        <w:rPr>
          <w:rFonts w:eastAsia="宋体" w:hint="eastAsia"/>
          <w:b/>
          <w:bCs/>
        </w:rPr>
        <w:t>9</w:t>
      </w:r>
      <w:r>
        <w:rPr>
          <w:rFonts w:eastAsia="宋体"/>
          <w:b/>
          <w:bCs/>
        </w:rPr>
        <w:t>月</w:t>
      </w:r>
    </w:p>
    <w:p w14:paraId="6D776532" w14:textId="77777777" w:rsidR="00B84ABE" w:rsidRDefault="00B84ABE">
      <w:pPr>
        <w:adjustRightInd w:val="0"/>
        <w:snapToGrid w:val="0"/>
        <w:rPr>
          <w:rFonts w:eastAsia="仿宋_GB2312"/>
        </w:rPr>
      </w:pPr>
    </w:p>
    <w:p w14:paraId="18721718" w14:textId="77777777" w:rsidR="00B84ABE" w:rsidRDefault="00B84ABE">
      <w:pPr>
        <w:adjustRightInd w:val="0"/>
        <w:snapToGrid w:val="0"/>
        <w:rPr>
          <w:rFonts w:eastAsia="仿宋_GB2312"/>
        </w:rPr>
        <w:sectPr w:rsidR="00B84ABE">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720"/>
          <w:docGrid w:type="lines" w:linePitch="312"/>
        </w:sectPr>
      </w:pPr>
    </w:p>
    <w:sdt>
      <w:sdtPr>
        <w:rPr>
          <w:rFonts w:eastAsia="仿宋_GB2312"/>
        </w:rPr>
        <w:id w:val="147460473"/>
        <w15:color w:val="DBDBDB"/>
        <w:docPartObj>
          <w:docPartGallery w:val="Table of Contents"/>
          <w:docPartUnique/>
        </w:docPartObj>
      </w:sdtPr>
      <w:sdtContent>
        <w:p w14:paraId="6BECA4CB" w14:textId="77777777" w:rsidR="00B84ABE" w:rsidRDefault="00000000">
          <w:pPr>
            <w:adjustRightInd w:val="0"/>
            <w:snapToGrid w:val="0"/>
            <w:ind w:firstLineChars="0" w:firstLine="0"/>
            <w:jc w:val="center"/>
            <w:outlineLvl w:val="0"/>
            <w:rPr>
              <w:rFonts w:eastAsia="黑体"/>
              <w:sz w:val="40"/>
              <w:szCs w:val="40"/>
            </w:rPr>
          </w:pPr>
          <w:r>
            <w:rPr>
              <w:rFonts w:eastAsia="黑体"/>
              <w:sz w:val="40"/>
              <w:szCs w:val="40"/>
            </w:rPr>
            <w:t>目</w:t>
          </w:r>
          <w:r>
            <w:rPr>
              <w:rFonts w:eastAsia="黑体" w:hint="eastAsia"/>
              <w:sz w:val="40"/>
              <w:szCs w:val="40"/>
            </w:rPr>
            <w:t xml:space="preserve">  </w:t>
          </w:r>
          <w:r>
            <w:rPr>
              <w:rFonts w:eastAsia="黑体"/>
              <w:sz w:val="40"/>
              <w:szCs w:val="40"/>
            </w:rPr>
            <w:t>录</w:t>
          </w:r>
        </w:p>
        <w:p w14:paraId="707AFEF9" w14:textId="06195AE1" w:rsidR="00B84ABE" w:rsidRDefault="00000000">
          <w:pPr>
            <w:pStyle w:val="TOC1"/>
            <w:tabs>
              <w:tab w:val="right" w:leader="dot" w:pos="8296"/>
            </w:tabs>
            <w:adjustRightInd w:val="0"/>
            <w:snapToGrid w:val="0"/>
            <w:ind w:firstLineChars="0" w:firstLine="0"/>
            <w:jc w:val="left"/>
            <w:rPr>
              <w:rFonts w:eastAsia="宋体" w:cstheme="minorBidi"/>
              <w:noProof/>
              <w:sz w:val="22"/>
              <w:szCs w:val="24"/>
            </w:rPr>
          </w:pPr>
          <w:r>
            <w:rPr>
              <w:rFonts w:eastAsia="仿宋_GB2312"/>
              <w:b/>
              <w:bCs/>
              <w:sz w:val="48"/>
              <w:szCs w:val="48"/>
            </w:rPr>
            <w:fldChar w:fldCharType="begin"/>
          </w:r>
          <w:r>
            <w:rPr>
              <w:rFonts w:eastAsia="仿宋_GB2312"/>
              <w:b/>
              <w:bCs/>
              <w:sz w:val="48"/>
              <w:szCs w:val="48"/>
            </w:rPr>
            <w:instrText xml:space="preserve">TOC \o "1-2" \h \u </w:instrText>
          </w:r>
          <w:r>
            <w:rPr>
              <w:rFonts w:eastAsia="仿宋_GB2312"/>
              <w:b/>
              <w:bCs/>
              <w:sz w:val="48"/>
              <w:szCs w:val="48"/>
            </w:rPr>
            <w:fldChar w:fldCharType="separate"/>
          </w:r>
          <w:hyperlink w:anchor="_Toc215734335" w:history="1">
            <w:r w:rsidR="00B84ABE">
              <w:rPr>
                <w:rStyle w:val="af9"/>
                <w:rFonts w:eastAsia="宋体" w:hint="eastAsia"/>
                <w:noProof/>
              </w:rPr>
              <w:t>一、工作简况</w:t>
            </w:r>
            <w:r w:rsidR="00B84ABE">
              <w:rPr>
                <w:rFonts w:eastAsia="宋体" w:hint="eastAsia"/>
                <w:noProof/>
              </w:rPr>
              <w:tab/>
            </w:r>
            <w:r w:rsidR="00B84ABE">
              <w:rPr>
                <w:rFonts w:eastAsia="宋体" w:hint="eastAsia"/>
                <w:noProof/>
              </w:rPr>
              <w:fldChar w:fldCharType="begin"/>
            </w:r>
            <w:r w:rsidR="00B84ABE">
              <w:rPr>
                <w:rFonts w:eastAsia="宋体" w:hint="eastAsia"/>
                <w:noProof/>
              </w:rPr>
              <w:instrText xml:space="preserve"> </w:instrText>
            </w:r>
            <w:r w:rsidR="00B84ABE">
              <w:rPr>
                <w:rFonts w:eastAsia="宋体"/>
                <w:noProof/>
              </w:rPr>
              <w:instrText>PAGEREF _Toc215734335 \h</w:instrText>
            </w:r>
            <w:r w:rsidR="00B84ABE">
              <w:rPr>
                <w:rFonts w:eastAsia="宋体" w:hint="eastAsia"/>
                <w:noProof/>
              </w:rPr>
              <w:instrText xml:space="preserve"> </w:instrText>
            </w:r>
            <w:r w:rsidR="00B84ABE">
              <w:rPr>
                <w:rFonts w:eastAsia="宋体" w:hint="eastAsia"/>
                <w:noProof/>
              </w:rPr>
            </w:r>
            <w:r w:rsidR="00B84ABE">
              <w:rPr>
                <w:rFonts w:eastAsia="宋体" w:hint="eastAsia"/>
                <w:noProof/>
              </w:rPr>
              <w:fldChar w:fldCharType="separate"/>
            </w:r>
            <w:r w:rsidR="007313F3">
              <w:rPr>
                <w:rFonts w:eastAsia="宋体"/>
                <w:noProof/>
              </w:rPr>
              <w:t>1</w:t>
            </w:r>
            <w:r w:rsidR="00B84ABE">
              <w:rPr>
                <w:rFonts w:eastAsia="宋体" w:hint="eastAsia"/>
                <w:noProof/>
              </w:rPr>
              <w:fldChar w:fldCharType="end"/>
            </w:r>
          </w:hyperlink>
        </w:p>
        <w:p w14:paraId="399480C8" w14:textId="51688334" w:rsidR="00B84ABE" w:rsidRDefault="00B84ABE">
          <w:pPr>
            <w:pStyle w:val="TOC2"/>
            <w:tabs>
              <w:tab w:val="right" w:leader="dot" w:pos="8296"/>
            </w:tabs>
            <w:adjustRightInd w:val="0"/>
            <w:snapToGrid w:val="0"/>
            <w:ind w:leftChars="0" w:left="0" w:firstLineChars="100" w:firstLine="320"/>
            <w:jc w:val="left"/>
            <w:rPr>
              <w:rFonts w:eastAsia="宋体" w:cstheme="minorBidi"/>
              <w:noProof/>
              <w:sz w:val="22"/>
              <w:szCs w:val="24"/>
            </w:rPr>
          </w:pPr>
          <w:hyperlink w:anchor="_Toc215734336" w:history="1">
            <w:r>
              <w:rPr>
                <w:rStyle w:val="af9"/>
                <w:rFonts w:eastAsia="宋体" w:hint="eastAsia"/>
                <w:noProof/>
              </w:rPr>
              <w:t>（一）任务来源</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_Toc215734336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1</w:t>
            </w:r>
            <w:r>
              <w:rPr>
                <w:rFonts w:eastAsia="宋体" w:hint="eastAsia"/>
                <w:noProof/>
              </w:rPr>
              <w:fldChar w:fldCharType="end"/>
            </w:r>
          </w:hyperlink>
        </w:p>
        <w:p w14:paraId="111D48E8" w14:textId="79A67FEF" w:rsidR="00B84ABE" w:rsidRDefault="00B84ABE">
          <w:pPr>
            <w:pStyle w:val="TOC2"/>
            <w:tabs>
              <w:tab w:val="right" w:leader="dot" w:pos="8296"/>
            </w:tabs>
            <w:adjustRightInd w:val="0"/>
            <w:snapToGrid w:val="0"/>
            <w:ind w:leftChars="0" w:left="0" w:firstLineChars="100" w:firstLine="320"/>
            <w:jc w:val="left"/>
            <w:rPr>
              <w:rFonts w:eastAsia="宋体" w:cstheme="minorBidi"/>
              <w:noProof/>
              <w:sz w:val="22"/>
              <w:szCs w:val="24"/>
            </w:rPr>
          </w:pPr>
          <w:hyperlink w:anchor="_Toc215734337" w:history="1">
            <w:r>
              <w:rPr>
                <w:rStyle w:val="af9"/>
                <w:rFonts w:eastAsia="宋体" w:hint="eastAsia"/>
                <w:noProof/>
              </w:rPr>
              <w:t>（二）制定背景</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_Toc215734337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1</w:t>
            </w:r>
            <w:r>
              <w:rPr>
                <w:rFonts w:eastAsia="宋体" w:hint="eastAsia"/>
                <w:noProof/>
              </w:rPr>
              <w:fldChar w:fldCharType="end"/>
            </w:r>
          </w:hyperlink>
        </w:p>
        <w:p w14:paraId="2B82B45D" w14:textId="45BC4039" w:rsidR="00B84ABE" w:rsidRDefault="00B84ABE">
          <w:pPr>
            <w:pStyle w:val="TOC2"/>
            <w:tabs>
              <w:tab w:val="right" w:leader="dot" w:pos="8296"/>
            </w:tabs>
            <w:adjustRightInd w:val="0"/>
            <w:snapToGrid w:val="0"/>
            <w:ind w:leftChars="0" w:left="0" w:firstLineChars="100" w:firstLine="320"/>
            <w:jc w:val="left"/>
            <w:rPr>
              <w:rFonts w:eastAsia="宋体" w:cstheme="minorBidi"/>
              <w:noProof/>
              <w:sz w:val="22"/>
              <w:szCs w:val="24"/>
            </w:rPr>
          </w:pPr>
          <w:hyperlink w:anchor="_Toc215734338" w:history="1">
            <w:r>
              <w:rPr>
                <w:rStyle w:val="af9"/>
                <w:rFonts w:eastAsia="宋体" w:hint="eastAsia"/>
                <w:noProof/>
              </w:rPr>
              <w:t>（三）起草过程</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_Toc215734338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4</w:t>
            </w:r>
            <w:r>
              <w:rPr>
                <w:rFonts w:eastAsia="宋体" w:hint="eastAsia"/>
                <w:noProof/>
              </w:rPr>
              <w:fldChar w:fldCharType="end"/>
            </w:r>
          </w:hyperlink>
        </w:p>
        <w:p w14:paraId="504E2395" w14:textId="1702F932" w:rsidR="00B84ABE" w:rsidRDefault="00B84ABE">
          <w:pPr>
            <w:pStyle w:val="TOC1"/>
            <w:tabs>
              <w:tab w:val="right" w:leader="dot" w:pos="8296"/>
            </w:tabs>
            <w:adjustRightInd w:val="0"/>
            <w:snapToGrid w:val="0"/>
            <w:ind w:firstLineChars="0" w:firstLine="0"/>
            <w:jc w:val="left"/>
            <w:rPr>
              <w:rFonts w:eastAsia="宋体" w:cstheme="minorBidi"/>
              <w:noProof/>
              <w:sz w:val="22"/>
              <w:szCs w:val="24"/>
            </w:rPr>
          </w:pPr>
          <w:hyperlink w:anchor="_Toc215734339" w:history="1">
            <w:r>
              <w:rPr>
                <w:rStyle w:val="af9"/>
                <w:rFonts w:eastAsia="宋体" w:hint="eastAsia"/>
                <w:noProof/>
              </w:rPr>
              <w:t>二、标准编制原则、主要内容及其确定依据</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_Toc215734339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4</w:t>
            </w:r>
            <w:r>
              <w:rPr>
                <w:rFonts w:eastAsia="宋体" w:hint="eastAsia"/>
                <w:noProof/>
              </w:rPr>
              <w:fldChar w:fldCharType="end"/>
            </w:r>
          </w:hyperlink>
        </w:p>
        <w:p w14:paraId="60B7F620" w14:textId="0386F5C1" w:rsidR="00B84ABE" w:rsidRDefault="00B84ABE">
          <w:pPr>
            <w:pStyle w:val="TOC2"/>
            <w:tabs>
              <w:tab w:val="right" w:leader="dot" w:pos="8296"/>
            </w:tabs>
            <w:adjustRightInd w:val="0"/>
            <w:snapToGrid w:val="0"/>
            <w:ind w:leftChars="0" w:left="0" w:firstLineChars="100" w:firstLine="320"/>
            <w:jc w:val="left"/>
            <w:rPr>
              <w:rFonts w:eastAsia="宋体" w:cstheme="minorBidi"/>
              <w:noProof/>
              <w:sz w:val="22"/>
              <w:szCs w:val="24"/>
            </w:rPr>
          </w:pPr>
          <w:hyperlink w:anchor="_Toc215734340" w:history="1">
            <w:r>
              <w:rPr>
                <w:rStyle w:val="af9"/>
                <w:rFonts w:eastAsia="宋体" w:hint="eastAsia"/>
                <w:noProof/>
              </w:rPr>
              <w:t>（一）标准编制原则</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_Toc215734340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5</w:t>
            </w:r>
            <w:r>
              <w:rPr>
                <w:rFonts w:eastAsia="宋体" w:hint="eastAsia"/>
                <w:noProof/>
              </w:rPr>
              <w:fldChar w:fldCharType="end"/>
            </w:r>
          </w:hyperlink>
        </w:p>
        <w:p w14:paraId="0C6A1227" w14:textId="6B8E9F63" w:rsidR="00B84ABE" w:rsidRDefault="00B84ABE">
          <w:pPr>
            <w:pStyle w:val="TOC2"/>
            <w:tabs>
              <w:tab w:val="left" w:pos="2260"/>
              <w:tab w:val="right" w:leader="dot" w:pos="8296"/>
            </w:tabs>
            <w:adjustRightInd w:val="0"/>
            <w:snapToGrid w:val="0"/>
            <w:ind w:leftChars="0" w:left="0" w:firstLineChars="100" w:firstLine="320"/>
            <w:jc w:val="left"/>
            <w:rPr>
              <w:rFonts w:eastAsia="宋体" w:cstheme="minorBidi"/>
              <w:noProof/>
              <w:sz w:val="22"/>
              <w:szCs w:val="24"/>
            </w:rPr>
          </w:pPr>
          <w:hyperlink w:anchor="_Toc215734341" w:history="1">
            <w:r>
              <w:rPr>
                <w:rStyle w:val="af9"/>
                <w:rFonts w:eastAsia="宋体" w:hint="eastAsia"/>
                <w:noProof/>
              </w:rPr>
              <w:t>（二）主要技术内容及确定依据</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_Toc215734341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6</w:t>
            </w:r>
            <w:r>
              <w:rPr>
                <w:rFonts w:eastAsia="宋体" w:hint="eastAsia"/>
                <w:noProof/>
              </w:rPr>
              <w:fldChar w:fldCharType="end"/>
            </w:r>
          </w:hyperlink>
        </w:p>
        <w:p w14:paraId="5C47248E" w14:textId="59859498" w:rsidR="00B84ABE" w:rsidRDefault="00B84ABE">
          <w:pPr>
            <w:pStyle w:val="TOC1"/>
            <w:tabs>
              <w:tab w:val="right" w:leader="dot" w:pos="8296"/>
            </w:tabs>
            <w:adjustRightInd w:val="0"/>
            <w:snapToGrid w:val="0"/>
            <w:ind w:firstLineChars="0" w:firstLine="0"/>
            <w:rPr>
              <w:rFonts w:eastAsia="宋体" w:cstheme="minorBidi"/>
              <w:noProof/>
              <w:sz w:val="22"/>
              <w:szCs w:val="24"/>
            </w:rPr>
          </w:pPr>
          <w:hyperlink w:anchor="_Toc215734352" w:history="1">
            <w:r>
              <w:rPr>
                <w:rStyle w:val="af9"/>
                <w:rFonts w:eastAsia="宋体" w:hint="eastAsia"/>
                <w:noProof/>
              </w:rPr>
              <w:t>三、试验验证的分析、综述报告，技术经济论证，预期的经济效益、社会效益和生态效益</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_Toc215734352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12</w:t>
            </w:r>
            <w:r>
              <w:rPr>
                <w:rFonts w:eastAsia="宋体" w:hint="eastAsia"/>
                <w:noProof/>
              </w:rPr>
              <w:fldChar w:fldCharType="end"/>
            </w:r>
          </w:hyperlink>
        </w:p>
        <w:p w14:paraId="305232E1" w14:textId="74A28054" w:rsidR="00B84ABE" w:rsidRDefault="00B84ABE">
          <w:pPr>
            <w:pStyle w:val="TOC1"/>
            <w:tabs>
              <w:tab w:val="right" w:leader="dot" w:pos="8296"/>
            </w:tabs>
            <w:adjustRightInd w:val="0"/>
            <w:snapToGrid w:val="0"/>
            <w:ind w:firstLineChars="0" w:firstLine="0"/>
            <w:jc w:val="left"/>
            <w:rPr>
              <w:rFonts w:eastAsia="宋体" w:cstheme="minorBidi"/>
              <w:noProof/>
              <w:sz w:val="22"/>
              <w:szCs w:val="24"/>
            </w:rPr>
          </w:pPr>
          <w:hyperlink w:anchor="_Toc215734353" w:history="1">
            <w:r>
              <w:rPr>
                <w:rStyle w:val="af9"/>
                <w:rFonts w:eastAsia="宋体" w:hint="eastAsia"/>
                <w:noProof/>
              </w:rPr>
              <w:t>四、与国际、国外同类标准技术内容的对比情况</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_Toc215734353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14</w:t>
            </w:r>
            <w:r>
              <w:rPr>
                <w:rFonts w:eastAsia="宋体" w:hint="eastAsia"/>
                <w:noProof/>
              </w:rPr>
              <w:fldChar w:fldCharType="end"/>
            </w:r>
          </w:hyperlink>
        </w:p>
        <w:p w14:paraId="5C76ACAA" w14:textId="1922130D" w:rsidR="00B84ABE" w:rsidRDefault="00B84ABE">
          <w:pPr>
            <w:pStyle w:val="TOC1"/>
            <w:tabs>
              <w:tab w:val="right" w:leader="dot" w:pos="8296"/>
            </w:tabs>
            <w:adjustRightInd w:val="0"/>
            <w:snapToGrid w:val="0"/>
            <w:ind w:firstLineChars="0" w:firstLine="0"/>
            <w:rPr>
              <w:rFonts w:eastAsia="宋体" w:cstheme="minorBidi"/>
              <w:noProof/>
              <w:sz w:val="22"/>
              <w:szCs w:val="24"/>
            </w:rPr>
          </w:pPr>
          <w:hyperlink w:anchor="_Toc215734354" w:history="1">
            <w:r>
              <w:rPr>
                <w:rStyle w:val="af9"/>
                <w:rFonts w:eastAsia="宋体" w:hint="eastAsia"/>
                <w:noProof/>
              </w:rPr>
              <w:t>五、以国际标准为基础的起草情况，以及是否合规引用或者采用国际国外标准，并说明未采用国际标准的原因</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_Toc215734354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15</w:t>
            </w:r>
            <w:r>
              <w:rPr>
                <w:rFonts w:eastAsia="宋体" w:hint="eastAsia"/>
                <w:noProof/>
              </w:rPr>
              <w:fldChar w:fldCharType="end"/>
            </w:r>
          </w:hyperlink>
        </w:p>
        <w:p w14:paraId="4FCAE82C" w14:textId="4B418901" w:rsidR="00B84ABE" w:rsidRDefault="00B84ABE">
          <w:pPr>
            <w:pStyle w:val="TOC1"/>
            <w:tabs>
              <w:tab w:val="right" w:leader="dot" w:pos="8296"/>
            </w:tabs>
            <w:adjustRightInd w:val="0"/>
            <w:snapToGrid w:val="0"/>
            <w:ind w:firstLineChars="0" w:firstLine="0"/>
            <w:jc w:val="left"/>
            <w:rPr>
              <w:rFonts w:eastAsia="宋体" w:cstheme="minorBidi"/>
              <w:noProof/>
              <w:sz w:val="22"/>
              <w:szCs w:val="24"/>
            </w:rPr>
          </w:pPr>
          <w:hyperlink w:anchor="_Toc215734355" w:history="1">
            <w:r>
              <w:rPr>
                <w:rStyle w:val="af9"/>
                <w:rFonts w:eastAsia="宋体" w:hint="eastAsia"/>
                <w:noProof/>
              </w:rPr>
              <w:t>六、与有关法律、行政法规及相关标准的关系</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_Toc215734355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16</w:t>
            </w:r>
            <w:r>
              <w:rPr>
                <w:rFonts w:eastAsia="宋体" w:hint="eastAsia"/>
                <w:noProof/>
              </w:rPr>
              <w:fldChar w:fldCharType="end"/>
            </w:r>
          </w:hyperlink>
        </w:p>
        <w:p w14:paraId="3639C7D6" w14:textId="2C31B671" w:rsidR="00B84ABE" w:rsidRDefault="00B84ABE">
          <w:pPr>
            <w:pStyle w:val="TOC1"/>
            <w:tabs>
              <w:tab w:val="right" w:leader="dot" w:pos="8296"/>
            </w:tabs>
            <w:adjustRightInd w:val="0"/>
            <w:snapToGrid w:val="0"/>
            <w:ind w:firstLineChars="0" w:firstLine="0"/>
            <w:jc w:val="left"/>
            <w:rPr>
              <w:rFonts w:eastAsia="宋体" w:cstheme="minorBidi"/>
              <w:noProof/>
              <w:sz w:val="22"/>
              <w:szCs w:val="24"/>
            </w:rPr>
          </w:pPr>
          <w:hyperlink w:anchor="_Toc215734356" w:history="1">
            <w:r>
              <w:rPr>
                <w:rStyle w:val="af9"/>
                <w:rFonts w:eastAsia="宋体" w:hint="eastAsia"/>
                <w:noProof/>
              </w:rPr>
              <w:t>七、重大分歧意见的处理经过和依据</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_Toc215734356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18</w:t>
            </w:r>
            <w:r>
              <w:rPr>
                <w:rFonts w:eastAsia="宋体" w:hint="eastAsia"/>
                <w:noProof/>
              </w:rPr>
              <w:fldChar w:fldCharType="end"/>
            </w:r>
          </w:hyperlink>
        </w:p>
        <w:p w14:paraId="61B42D23" w14:textId="0A30E70B" w:rsidR="00B84ABE" w:rsidRDefault="00B84ABE">
          <w:pPr>
            <w:pStyle w:val="TOC1"/>
            <w:tabs>
              <w:tab w:val="right" w:leader="dot" w:pos="8296"/>
            </w:tabs>
            <w:adjustRightInd w:val="0"/>
            <w:snapToGrid w:val="0"/>
            <w:ind w:firstLineChars="0" w:firstLine="0"/>
            <w:jc w:val="left"/>
            <w:rPr>
              <w:rFonts w:eastAsia="宋体" w:cstheme="minorBidi"/>
              <w:noProof/>
              <w:sz w:val="22"/>
              <w:szCs w:val="24"/>
            </w:rPr>
          </w:pPr>
          <w:hyperlink w:anchor="_Toc215734357" w:history="1">
            <w:r>
              <w:rPr>
                <w:rStyle w:val="af9"/>
                <w:rFonts w:eastAsia="宋体" w:hint="eastAsia"/>
                <w:noProof/>
              </w:rPr>
              <w:t>八、涉及专利的有关说明</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_Toc215734357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18</w:t>
            </w:r>
            <w:r>
              <w:rPr>
                <w:rFonts w:eastAsia="宋体" w:hint="eastAsia"/>
                <w:noProof/>
              </w:rPr>
              <w:fldChar w:fldCharType="end"/>
            </w:r>
          </w:hyperlink>
        </w:p>
        <w:p w14:paraId="58349418" w14:textId="111C4A3F" w:rsidR="00B84ABE" w:rsidRDefault="00B84ABE">
          <w:pPr>
            <w:pStyle w:val="TOC1"/>
            <w:tabs>
              <w:tab w:val="right" w:leader="dot" w:pos="8296"/>
            </w:tabs>
            <w:adjustRightInd w:val="0"/>
            <w:snapToGrid w:val="0"/>
            <w:ind w:firstLineChars="0" w:firstLine="0"/>
            <w:rPr>
              <w:rFonts w:eastAsia="宋体" w:cstheme="minorBidi"/>
              <w:noProof/>
              <w:sz w:val="22"/>
              <w:szCs w:val="24"/>
            </w:rPr>
          </w:pPr>
          <w:hyperlink w:anchor="_Toc215734358" w:history="1">
            <w:r>
              <w:rPr>
                <w:rStyle w:val="af9"/>
                <w:rFonts w:eastAsia="宋体" w:hint="eastAsia"/>
                <w:noProof/>
              </w:rPr>
              <w:t>九、实施标准的要求，以及组织措施、技术措施、过渡期和实施日期的建议等措施建议</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_Toc215734358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18</w:t>
            </w:r>
            <w:r>
              <w:rPr>
                <w:rFonts w:eastAsia="宋体" w:hint="eastAsia"/>
                <w:noProof/>
              </w:rPr>
              <w:fldChar w:fldCharType="end"/>
            </w:r>
          </w:hyperlink>
        </w:p>
        <w:p w14:paraId="74224AA3" w14:textId="0558FDAD" w:rsidR="00B84ABE" w:rsidRDefault="00B84ABE">
          <w:pPr>
            <w:pStyle w:val="TOC1"/>
            <w:tabs>
              <w:tab w:val="right" w:leader="dot" w:pos="8296"/>
            </w:tabs>
            <w:adjustRightInd w:val="0"/>
            <w:snapToGrid w:val="0"/>
            <w:ind w:firstLineChars="0" w:firstLine="0"/>
            <w:rPr>
              <w:rFonts w:eastAsia="仿宋_GB2312" w:cstheme="minorBidi"/>
              <w:noProof/>
              <w:sz w:val="22"/>
              <w:szCs w:val="24"/>
            </w:rPr>
          </w:pPr>
          <w:hyperlink w:anchor="_Toc215734359" w:history="1">
            <w:r>
              <w:rPr>
                <w:rStyle w:val="af9"/>
                <w:rFonts w:eastAsia="宋体" w:hint="eastAsia"/>
                <w:noProof/>
              </w:rPr>
              <w:t>十、其他应当说明的事项</w:t>
            </w:r>
            <w:r>
              <w:rPr>
                <w:rFonts w:eastAsia="宋体" w:hint="eastAsia"/>
                <w:noProof/>
              </w:rPr>
              <w:tab/>
            </w:r>
            <w:r>
              <w:rPr>
                <w:rFonts w:eastAsia="宋体" w:hint="eastAsia"/>
                <w:noProof/>
              </w:rPr>
              <w:fldChar w:fldCharType="begin"/>
            </w:r>
            <w:r>
              <w:rPr>
                <w:rFonts w:eastAsia="宋体" w:hint="eastAsia"/>
                <w:noProof/>
              </w:rPr>
              <w:instrText xml:space="preserve"> </w:instrText>
            </w:r>
            <w:r>
              <w:rPr>
                <w:rFonts w:eastAsia="宋体"/>
                <w:noProof/>
              </w:rPr>
              <w:instrText>PAGEREF _Toc215734359 \h</w:instrText>
            </w:r>
            <w:r>
              <w:rPr>
                <w:rFonts w:eastAsia="宋体" w:hint="eastAsia"/>
                <w:noProof/>
              </w:rPr>
              <w:instrText xml:space="preserve"> </w:instrText>
            </w:r>
            <w:r>
              <w:rPr>
                <w:rFonts w:eastAsia="宋体" w:hint="eastAsia"/>
                <w:noProof/>
              </w:rPr>
            </w:r>
            <w:r>
              <w:rPr>
                <w:rFonts w:eastAsia="宋体" w:hint="eastAsia"/>
                <w:noProof/>
              </w:rPr>
              <w:fldChar w:fldCharType="separate"/>
            </w:r>
            <w:r w:rsidR="007313F3">
              <w:rPr>
                <w:rFonts w:eastAsia="宋体"/>
                <w:noProof/>
              </w:rPr>
              <w:t>19</w:t>
            </w:r>
            <w:r>
              <w:rPr>
                <w:rFonts w:eastAsia="宋体" w:hint="eastAsia"/>
                <w:noProof/>
              </w:rPr>
              <w:fldChar w:fldCharType="end"/>
            </w:r>
          </w:hyperlink>
        </w:p>
        <w:p w14:paraId="62963AF6" w14:textId="77777777" w:rsidR="00B84ABE" w:rsidRDefault="00000000">
          <w:pPr>
            <w:adjustRightInd w:val="0"/>
            <w:snapToGrid w:val="0"/>
            <w:ind w:firstLine="560"/>
            <w:rPr>
              <w:rFonts w:eastAsia="仿宋_GB2312"/>
            </w:rPr>
          </w:pPr>
          <w:r>
            <w:rPr>
              <w:rFonts w:eastAsia="仿宋_GB2312"/>
              <w:sz w:val="28"/>
              <w:szCs w:val="48"/>
            </w:rPr>
            <w:fldChar w:fldCharType="end"/>
          </w:r>
        </w:p>
      </w:sdtContent>
    </w:sdt>
    <w:p w14:paraId="3860D100" w14:textId="77777777" w:rsidR="00B84ABE" w:rsidRDefault="00B84ABE">
      <w:pPr>
        <w:adjustRightInd w:val="0"/>
        <w:snapToGrid w:val="0"/>
        <w:rPr>
          <w:rFonts w:eastAsia="仿宋_GB2312"/>
        </w:rPr>
      </w:pPr>
    </w:p>
    <w:p w14:paraId="753EBA79" w14:textId="77777777" w:rsidR="00B84ABE" w:rsidRDefault="00B84ABE">
      <w:pPr>
        <w:tabs>
          <w:tab w:val="center" w:pos="4153"/>
        </w:tabs>
        <w:ind w:firstLineChars="0" w:firstLine="0"/>
        <w:jc w:val="left"/>
        <w:sectPr w:rsidR="00B84ABE">
          <w:footerReference w:type="default" r:id="rId15"/>
          <w:footerReference w:type="first" r:id="rId16"/>
          <w:pgSz w:w="11906" w:h="16838"/>
          <w:pgMar w:top="1440" w:right="1800" w:bottom="1440" w:left="1800" w:header="851" w:footer="992" w:gutter="0"/>
          <w:pgNumType w:fmt="upperRoman"/>
          <w:cols w:space="425"/>
          <w:titlePg/>
          <w:docGrid w:type="lines" w:linePitch="312"/>
        </w:sectPr>
      </w:pPr>
    </w:p>
    <w:p w14:paraId="0284AD1F" w14:textId="77777777" w:rsidR="00B84ABE" w:rsidRDefault="00000000">
      <w:pPr>
        <w:pStyle w:val="1"/>
        <w:adjustRightInd w:val="0"/>
        <w:snapToGrid w:val="0"/>
        <w:spacing w:beforeLines="50" w:before="156" w:afterLines="50" w:after="156" w:line="360" w:lineRule="auto"/>
        <w:ind w:firstLineChars="0" w:firstLine="0"/>
        <w:rPr>
          <w:rFonts w:eastAsia="黑体"/>
        </w:rPr>
      </w:pPr>
      <w:bookmarkStart w:id="1" w:name="_Toc215734335"/>
      <w:r>
        <w:rPr>
          <w:rFonts w:eastAsia="黑体" w:hint="eastAsia"/>
        </w:rPr>
        <w:lastRenderedPageBreak/>
        <w:t>一、工作简况</w:t>
      </w:r>
      <w:bookmarkEnd w:id="1"/>
    </w:p>
    <w:p w14:paraId="36F226CC" w14:textId="77777777" w:rsidR="00B84ABE" w:rsidRDefault="00000000">
      <w:pPr>
        <w:adjustRightInd w:val="0"/>
        <w:snapToGrid w:val="0"/>
        <w:spacing w:beforeLines="50" w:before="156" w:afterLines="50" w:after="156"/>
        <w:ind w:firstLine="643"/>
        <w:outlineLvl w:val="1"/>
        <w:rPr>
          <w:rFonts w:eastAsia="楷体" w:cs="楷体"/>
          <w:b/>
          <w:bCs/>
        </w:rPr>
      </w:pPr>
      <w:bookmarkStart w:id="2" w:name="_Toc215734336"/>
      <w:r>
        <w:rPr>
          <w:rFonts w:eastAsia="楷体" w:cs="楷体" w:hint="eastAsia"/>
          <w:b/>
          <w:bCs/>
        </w:rPr>
        <w:t>（一）任务来源</w:t>
      </w:r>
      <w:bookmarkEnd w:id="2"/>
    </w:p>
    <w:p w14:paraId="02C74438" w14:textId="00D054D3" w:rsidR="00B84ABE" w:rsidRDefault="00000000" w:rsidP="006B4001">
      <w:pPr>
        <w:adjustRightInd w:val="0"/>
        <w:snapToGrid w:val="0"/>
        <w:rPr>
          <w:rFonts w:eastAsia="仿宋_GB2312"/>
        </w:rPr>
      </w:pPr>
      <w:r>
        <w:rPr>
          <w:rFonts w:eastAsia="仿宋_GB2312" w:hint="eastAsia"/>
        </w:rPr>
        <w:t>本文件《船用燃料供应电子单证技术规范</w:t>
      </w:r>
      <w:r>
        <w:rPr>
          <w:rFonts w:eastAsia="仿宋_GB2312" w:hint="eastAsia"/>
        </w:rPr>
        <w:t xml:space="preserve"> </w:t>
      </w:r>
      <w:r>
        <w:rPr>
          <w:rFonts w:eastAsia="仿宋_GB2312" w:hint="eastAsia"/>
        </w:rPr>
        <w:t>第</w:t>
      </w:r>
      <w:r>
        <w:rPr>
          <w:rFonts w:eastAsia="仿宋_GB2312" w:hint="eastAsia"/>
        </w:rPr>
        <w:t>1</w:t>
      </w:r>
      <w:r>
        <w:rPr>
          <w:rFonts w:eastAsia="仿宋_GB2312" w:hint="eastAsia"/>
        </w:rPr>
        <w:t>部分：通用要求》（以下简称“本文件”）属于中国船舶燃料供应行业团体标准体系的重要组成部分，由</w:t>
      </w:r>
      <w:r w:rsidRPr="001336D5">
        <w:rPr>
          <w:rFonts w:eastAsia="仿宋_GB2312" w:hint="eastAsia"/>
        </w:rPr>
        <w:t>中国船舶燃料有限责任公司、上海海事大学、</w:t>
      </w:r>
      <w:r w:rsidR="006B4001" w:rsidRPr="001336D5">
        <w:rPr>
          <w:rFonts w:eastAsia="仿宋_GB2312"/>
        </w:rPr>
        <w:t>中远海运科技股份有限公司</w:t>
      </w:r>
      <w:r w:rsidRPr="001336D5">
        <w:rPr>
          <w:rFonts w:eastAsia="仿宋_GB2312" w:hint="eastAsia"/>
        </w:rPr>
        <w:t>、</w:t>
      </w:r>
      <w:r w:rsidR="006B4001" w:rsidRPr="001336D5">
        <w:rPr>
          <w:rFonts w:eastAsia="仿宋_GB2312"/>
        </w:rPr>
        <w:t>中石油炼油特色产品有限公司</w:t>
      </w:r>
      <w:r w:rsidRPr="001336D5">
        <w:rPr>
          <w:rFonts w:eastAsia="仿宋_GB2312" w:hint="eastAsia"/>
        </w:rPr>
        <w:t>、</w:t>
      </w:r>
      <w:r w:rsidR="006B4001" w:rsidRPr="001336D5">
        <w:rPr>
          <w:rFonts w:eastAsia="仿宋_GB2312"/>
        </w:rPr>
        <w:t>洋山港海事局</w:t>
      </w:r>
      <w:r w:rsidR="006B4001" w:rsidRPr="001336D5">
        <w:rPr>
          <w:rFonts w:eastAsia="仿宋_GB2312" w:hint="eastAsia"/>
        </w:rPr>
        <w:t>、</w:t>
      </w:r>
      <w:r w:rsidR="006B4001" w:rsidRPr="001336D5">
        <w:rPr>
          <w:rFonts w:eastAsia="仿宋_GB2312"/>
        </w:rPr>
        <w:t>临港新片区管委会</w:t>
      </w:r>
      <w:r w:rsidR="006B4001" w:rsidRPr="001336D5">
        <w:rPr>
          <w:rFonts w:eastAsia="仿宋_GB2312" w:hint="eastAsia"/>
        </w:rPr>
        <w:t>、</w:t>
      </w:r>
      <w:proofErr w:type="gramStart"/>
      <w:r w:rsidR="006B4001" w:rsidRPr="001336D5">
        <w:rPr>
          <w:rFonts w:eastAsia="仿宋_GB2312"/>
        </w:rPr>
        <w:t>上海通银石油化工</w:t>
      </w:r>
      <w:proofErr w:type="gramEnd"/>
      <w:r w:rsidR="006B4001" w:rsidRPr="001336D5">
        <w:rPr>
          <w:rFonts w:eastAsia="仿宋_GB2312" w:hint="eastAsia"/>
        </w:rPr>
        <w:t>有</w:t>
      </w:r>
      <w:r w:rsidR="006B4001" w:rsidRPr="001336D5">
        <w:rPr>
          <w:rFonts w:eastAsia="仿宋_GB2312"/>
        </w:rPr>
        <w:t>限公司</w:t>
      </w:r>
      <w:r w:rsidR="006B4001" w:rsidRPr="001336D5">
        <w:rPr>
          <w:rFonts w:eastAsia="仿宋_GB2312" w:hint="eastAsia"/>
        </w:rPr>
        <w:t>、</w:t>
      </w:r>
      <w:r w:rsidR="006B4001" w:rsidRPr="001336D5">
        <w:rPr>
          <w:rFonts w:eastAsia="仿宋_GB2312"/>
        </w:rPr>
        <w:t>南京</w:t>
      </w:r>
      <w:r w:rsidR="006B4001" w:rsidRPr="006B4001">
        <w:rPr>
          <w:rFonts w:eastAsia="仿宋_GB2312"/>
        </w:rPr>
        <w:t>金源船务实业有限公司</w:t>
      </w:r>
      <w:r w:rsidR="006B4001">
        <w:rPr>
          <w:rFonts w:eastAsia="仿宋_GB2312" w:hint="eastAsia"/>
        </w:rPr>
        <w:t>、</w:t>
      </w:r>
      <w:proofErr w:type="gramStart"/>
      <w:r w:rsidR="006B4001" w:rsidRPr="006B4001">
        <w:rPr>
          <w:rFonts w:eastAsia="仿宋_GB2312" w:hint="eastAsia"/>
        </w:rPr>
        <w:t>恩德斯豪斯</w:t>
      </w:r>
      <w:proofErr w:type="gramEnd"/>
      <w:r w:rsidR="006B4001" w:rsidRPr="006B4001">
        <w:rPr>
          <w:rFonts w:eastAsia="仿宋_GB2312" w:hint="eastAsia"/>
        </w:rPr>
        <w:t>（中国）自动化有限公司</w:t>
      </w:r>
      <w:r w:rsidR="006B4001">
        <w:rPr>
          <w:rFonts w:eastAsia="仿宋_GB2312" w:hint="eastAsia"/>
        </w:rPr>
        <w:t>、</w:t>
      </w:r>
      <w:r w:rsidR="006B4001" w:rsidRPr="006B4001">
        <w:rPr>
          <w:rFonts w:eastAsia="仿宋_GB2312"/>
        </w:rPr>
        <w:t>中国船东协会</w:t>
      </w:r>
      <w:r>
        <w:rPr>
          <w:rFonts w:eastAsia="仿宋_GB2312" w:hint="eastAsia"/>
        </w:rPr>
        <w:t>等相关单位联合组建标准编制组共同起草。本文件标准性质为团体标准，制修订类别为制定，标准体系编号暂定为</w:t>
      </w:r>
      <w:r w:rsidRPr="00F34EE5">
        <w:rPr>
          <w:rFonts w:eastAsia="仿宋_GB2312" w:hint="eastAsia"/>
        </w:rPr>
        <w:t>T/CBS XXXX</w:t>
      </w:r>
      <w:r>
        <w:rPr>
          <w:rFonts w:eastAsia="仿宋_GB2312" w:hint="eastAsia"/>
        </w:rPr>
        <w:t>，拟在征求意见、审查、报批后正式发布实施。</w:t>
      </w:r>
    </w:p>
    <w:p w14:paraId="3190D63C" w14:textId="0CF2AF1E" w:rsidR="00B84ABE" w:rsidRDefault="006B4001">
      <w:pPr>
        <w:adjustRightInd w:val="0"/>
        <w:snapToGrid w:val="0"/>
        <w:rPr>
          <w:rFonts w:eastAsia="仿宋_GB2312"/>
        </w:rPr>
      </w:pPr>
      <w:r w:rsidRPr="006B4001">
        <w:rPr>
          <w:rFonts w:eastAsia="仿宋_GB2312"/>
        </w:rPr>
        <w:t>本文件是《船用燃料供应电子单证技术规范》系列标准的第</w:t>
      </w:r>
      <w:r w:rsidRPr="006B4001">
        <w:rPr>
          <w:rFonts w:eastAsia="仿宋_GB2312"/>
        </w:rPr>
        <w:t>3</w:t>
      </w:r>
      <w:r w:rsidRPr="006B4001">
        <w:rPr>
          <w:rFonts w:eastAsia="仿宋_GB2312"/>
        </w:rPr>
        <w:t>部分。该系列标准分为三个部分：第</w:t>
      </w:r>
      <w:r w:rsidRPr="006B4001">
        <w:rPr>
          <w:rFonts w:eastAsia="仿宋_GB2312"/>
        </w:rPr>
        <w:t>1</w:t>
      </w:r>
      <w:r w:rsidRPr="006B4001">
        <w:rPr>
          <w:rFonts w:eastAsia="仿宋_GB2312"/>
        </w:rPr>
        <w:t>部分：通用要求；第</w:t>
      </w:r>
      <w:r w:rsidRPr="006B4001">
        <w:rPr>
          <w:rFonts w:eastAsia="仿宋_GB2312"/>
        </w:rPr>
        <w:t>2</w:t>
      </w:r>
      <w:r w:rsidRPr="006B4001">
        <w:rPr>
          <w:rFonts w:eastAsia="仿宋_GB2312"/>
        </w:rPr>
        <w:t>部分：信息平台与数据接口要求；第</w:t>
      </w:r>
      <w:r w:rsidRPr="006B4001">
        <w:rPr>
          <w:rFonts w:eastAsia="仿宋_GB2312"/>
        </w:rPr>
        <w:t>3</w:t>
      </w:r>
      <w:r w:rsidRPr="006B4001">
        <w:rPr>
          <w:rFonts w:eastAsia="仿宋_GB2312"/>
        </w:rPr>
        <w:t>部分：辅助单据基本信息要求。其中，第</w:t>
      </w:r>
      <w:r w:rsidRPr="006B4001">
        <w:rPr>
          <w:rFonts w:eastAsia="仿宋_GB2312"/>
        </w:rPr>
        <w:t>1</w:t>
      </w:r>
      <w:r w:rsidRPr="006B4001">
        <w:rPr>
          <w:rFonts w:eastAsia="仿宋_GB2312"/>
        </w:rPr>
        <w:t>部分规定电子单证的通用要求与数据元规范，第</w:t>
      </w:r>
      <w:r w:rsidRPr="006B4001">
        <w:rPr>
          <w:rFonts w:eastAsia="仿宋_GB2312"/>
        </w:rPr>
        <w:t>2</w:t>
      </w:r>
      <w:r w:rsidRPr="006B4001">
        <w:rPr>
          <w:rFonts w:eastAsia="仿宋_GB2312"/>
        </w:rPr>
        <w:t>部分规定信息平台的功能与数据接口要求，本部</w:t>
      </w:r>
      <w:proofErr w:type="gramStart"/>
      <w:r w:rsidRPr="006B4001">
        <w:rPr>
          <w:rFonts w:eastAsia="仿宋_GB2312"/>
        </w:rPr>
        <w:t>分规定</w:t>
      </w:r>
      <w:proofErr w:type="gramEnd"/>
      <w:r w:rsidRPr="006B4001">
        <w:rPr>
          <w:rFonts w:eastAsia="仿宋_GB2312"/>
        </w:rPr>
        <w:t>辅助单据的分类、内容、格式及其与主单的关联与成套管理要求，三个部分配套使用</w:t>
      </w:r>
      <w:r>
        <w:rPr>
          <w:rFonts w:eastAsia="仿宋_GB2312" w:hint="eastAsia"/>
        </w:rPr>
        <w:t>。</w:t>
      </w:r>
    </w:p>
    <w:p w14:paraId="1C7796FD" w14:textId="77777777" w:rsidR="00B84ABE" w:rsidRDefault="00000000">
      <w:pPr>
        <w:adjustRightInd w:val="0"/>
        <w:snapToGrid w:val="0"/>
        <w:spacing w:beforeLines="50" w:before="156" w:afterLines="50" w:after="156"/>
        <w:ind w:firstLine="643"/>
        <w:outlineLvl w:val="1"/>
        <w:rPr>
          <w:rFonts w:eastAsia="楷体" w:cs="楷体"/>
          <w:b/>
          <w:bCs/>
        </w:rPr>
      </w:pPr>
      <w:bookmarkStart w:id="3" w:name="_Toc215734337"/>
      <w:r>
        <w:rPr>
          <w:rFonts w:eastAsia="楷体" w:cs="楷体" w:hint="eastAsia"/>
          <w:b/>
          <w:bCs/>
        </w:rPr>
        <w:t>（二）制定背景</w:t>
      </w:r>
      <w:bookmarkEnd w:id="3"/>
    </w:p>
    <w:p w14:paraId="760D880C" w14:textId="5FD63EBC" w:rsidR="001336D5" w:rsidRPr="001336D5" w:rsidRDefault="001336D5" w:rsidP="001336D5">
      <w:pPr>
        <w:adjustRightInd w:val="0"/>
        <w:snapToGrid w:val="0"/>
        <w:rPr>
          <w:rFonts w:eastAsia="仿宋_GB2312"/>
        </w:rPr>
      </w:pPr>
      <w:r w:rsidRPr="001336D5">
        <w:rPr>
          <w:rFonts w:eastAsia="仿宋_GB2312" w:hint="eastAsia"/>
        </w:rPr>
        <w:lastRenderedPageBreak/>
        <w:t>船用燃料供应是国际航行船舶港口服务的关键环节，其单证既是贸易结算的凭据，也是海关申报、海事监管、税务核算和争议处置的依据。《交通强国建设纲要》《数字交通“十四五”发展规划》《水运“十四五”发展规划》等文件明确提出推进交通运输数字化转型，推动单证电子化、业务协同化和监管智能化；《中华人民共和国电子签名法》为数据电文的法律效力提供了制度基础，使电子单证替代纸质单证具备法律可行性；《中华人民共和国档案法》对电子档案的形成、归档、保管和利用提出了明确要求。在监管层面，海关对保税船用燃料的申报、核注、核销实行全流程监管，海事管理机构</w:t>
      </w:r>
      <w:proofErr w:type="gramStart"/>
      <w:r w:rsidRPr="001336D5">
        <w:rPr>
          <w:rFonts w:eastAsia="仿宋_GB2312" w:hint="eastAsia"/>
        </w:rPr>
        <w:t>对供受油</w:t>
      </w:r>
      <w:proofErr w:type="gramEnd"/>
      <w:r w:rsidRPr="001336D5">
        <w:rPr>
          <w:rFonts w:eastAsia="仿宋_GB2312" w:hint="eastAsia"/>
        </w:rPr>
        <w:t>作业安全和防污染实施监督管理，两者均以单证数据为基础，对单证的规范性、一致性和</w:t>
      </w:r>
      <w:proofErr w:type="gramStart"/>
      <w:r w:rsidRPr="001336D5">
        <w:rPr>
          <w:rFonts w:eastAsia="仿宋_GB2312" w:hint="eastAsia"/>
        </w:rPr>
        <w:t>可</w:t>
      </w:r>
      <w:proofErr w:type="gramEnd"/>
      <w:r w:rsidRPr="001336D5">
        <w:rPr>
          <w:rFonts w:eastAsia="仿宋_GB2312" w:hint="eastAsia"/>
        </w:rPr>
        <w:t>追溯性提出了更高要求。</w:t>
      </w:r>
    </w:p>
    <w:p w14:paraId="2B8EE169" w14:textId="49642F51" w:rsidR="001336D5" w:rsidRDefault="001336D5" w:rsidP="001336D5">
      <w:pPr>
        <w:adjustRightInd w:val="0"/>
        <w:snapToGrid w:val="0"/>
        <w:rPr>
          <w:rFonts w:eastAsia="仿宋_GB2312"/>
        </w:rPr>
      </w:pPr>
      <w:r w:rsidRPr="001336D5">
        <w:rPr>
          <w:rFonts w:eastAsia="仿宋_GB2312" w:hint="eastAsia"/>
        </w:rPr>
        <w:t>《国际防止船舶造成污染公约》（</w:t>
      </w:r>
      <w:r w:rsidRPr="001336D5">
        <w:rPr>
          <w:rFonts w:eastAsia="仿宋_GB2312" w:hint="eastAsia"/>
        </w:rPr>
        <w:t>MARPOL</w:t>
      </w:r>
      <w:r w:rsidRPr="001336D5">
        <w:rPr>
          <w:rFonts w:eastAsia="仿宋_GB2312" w:hint="eastAsia"/>
        </w:rPr>
        <w:t>）附则</w:t>
      </w:r>
      <w:r w:rsidRPr="001336D5">
        <w:rPr>
          <w:rFonts w:eastAsia="仿宋_GB2312" w:hint="eastAsia"/>
        </w:rPr>
        <w:t>VI</w:t>
      </w:r>
      <w:r w:rsidRPr="001336D5">
        <w:rPr>
          <w:rFonts w:eastAsia="仿宋_GB2312" w:hint="eastAsia"/>
        </w:rPr>
        <w:t>第</w:t>
      </w:r>
      <w:r w:rsidRPr="001336D5">
        <w:rPr>
          <w:rFonts w:eastAsia="仿宋_GB2312" w:hint="eastAsia"/>
        </w:rPr>
        <w:t>18</w:t>
      </w:r>
      <w:r w:rsidRPr="001336D5">
        <w:rPr>
          <w:rFonts w:eastAsia="仿宋_GB2312" w:hint="eastAsia"/>
        </w:rPr>
        <w:t>条明确要求燃油交付单（</w:t>
      </w:r>
      <w:r w:rsidRPr="001336D5">
        <w:rPr>
          <w:rFonts w:eastAsia="仿宋_GB2312" w:hint="eastAsia"/>
        </w:rPr>
        <w:t>BDN</w:t>
      </w:r>
      <w:r w:rsidRPr="001336D5">
        <w:rPr>
          <w:rFonts w:eastAsia="仿宋_GB2312" w:hint="eastAsia"/>
        </w:rPr>
        <w:t>）随船保存并附具质量符合性声明，</w:t>
      </w:r>
      <w:r w:rsidRPr="001336D5">
        <w:rPr>
          <w:rFonts w:eastAsia="仿宋_GB2312" w:hint="eastAsia"/>
        </w:rPr>
        <w:t>ISO 8217</w:t>
      </w:r>
      <w:r w:rsidRPr="001336D5">
        <w:rPr>
          <w:rFonts w:eastAsia="仿宋_GB2312" w:hint="eastAsia"/>
        </w:rPr>
        <w:t>为船用燃料油质量提供了统一的判定依据，国际燃油行业协会（</w:t>
      </w:r>
      <w:r w:rsidRPr="001336D5">
        <w:rPr>
          <w:rFonts w:eastAsia="仿宋_GB2312" w:hint="eastAsia"/>
        </w:rPr>
        <w:t>IBIA</w:t>
      </w:r>
      <w:r w:rsidRPr="001336D5">
        <w:rPr>
          <w:rFonts w:eastAsia="仿宋_GB2312" w:hint="eastAsia"/>
        </w:rPr>
        <w:t>）等行业组织也发布了单证与作业指引。近年来，新加坡、鹿特丹等主要</w:t>
      </w:r>
      <w:proofErr w:type="gramStart"/>
      <w:r w:rsidRPr="001336D5">
        <w:rPr>
          <w:rFonts w:eastAsia="仿宋_GB2312" w:hint="eastAsia"/>
        </w:rPr>
        <w:t>船燃加注港</w:t>
      </w:r>
      <w:proofErr w:type="gramEnd"/>
      <w:r w:rsidRPr="001336D5">
        <w:rPr>
          <w:rFonts w:eastAsia="仿宋_GB2312" w:hint="eastAsia"/>
        </w:rPr>
        <w:t>陆续推行电子</w:t>
      </w:r>
      <w:r w:rsidRPr="001336D5">
        <w:rPr>
          <w:rFonts w:eastAsia="仿宋_GB2312" w:hint="eastAsia"/>
        </w:rPr>
        <w:t>BDN</w:t>
      </w:r>
      <w:r w:rsidRPr="001336D5">
        <w:rPr>
          <w:rFonts w:eastAsia="仿宋_GB2312" w:hint="eastAsia"/>
        </w:rPr>
        <w:t>（</w:t>
      </w:r>
      <w:r w:rsidRPr="001336D5">
        <w:rPr>
          <w:rFonts w:eastAsia="仿宋_GB2312" w:hint="eastAsia"/>
        </w:rPr>
        <w:t>e-BDN</w:t>
      </w:r>
      <w:r w:rsidRPr="001336D5">
        <w:rPr>
          <w:rFonts w:eastAsia="仿宋_GB2312" w:hint="eastAsia"/>
        </w:rPr>
        <w:t>），但相关工作主要聚焦主单的电子化，对辅助单据的系统性规范以及与主单的成套管理仍属空白</w:t>
      </w:r>
      <w:r>
        <w:rPr>
          <w:rFonts w:eastAsia="仿宋_GB2312" w:hint="eastAsia"/>
        </w:rPr>
        <w:t>。</w:t>
      </w:r>
    </w:p>
    <w:p w14:paraId="31BE658D" w14:textId="5534C393" w:rsidR="001336D5" w:rsidRPr="001336D5" w:rsidRDefault="001336D5" w:rsidP="001336D5">
      <w:pPr>
        <w:adjustRightInd w:val="0"/>
        <w:snapToGrid w:val="0"/>
        <w:rPr>
          <w:rFonts w:eastAsia="仿宋_GB2312"/>
        </w:rPr>
      </w:pPr>
      <w:r w:rsidRPr="001336D5">
        <w:rPr>
          <w:rFonts w:eastAsia="仿宋_GB2312" w:hint="eastAsia"/>
        </w:rPr>
        <w:t>长期以来，我国船用燃料供应业务主要依赖纸质单证</w:t>
      </w:r>
      <w:r w:rsidRPr="001336D5">
        <w:rPr>
          <w:rFonts w:eastAsia="仿宋_GB2312" w:hint="eastAsia"/>
        </w:rPr>
        <w:lastRenderedPageBreak/>
        <w:t>流转，一套完整的加注业务通常涉及加注计量单、仪表读数记录表、质量流量计系统密封检查表、流量计总表日志、数量证书、质量证书、质量检测报告、销售确认单、发票、事实陈述、抗议书以及多项海关单证等数十份文件，分别由供油方、受油方、检验机构、计量机构、代理机构、保税仓库和海关等不同主体出具。</w:t>
      </w:r>
    </w:p>
    <w:p w14:paraId="704AAB29" w14:textId="77777777" w:rsidR="001336D5" w:rsidRPr="001336D5" w:rsidRDefault="001336D5" w:rsidP="001336D5">
      <w:pPr>
        <w:adjustRightInd w:val="0"/>
        <w:snapToGrid w:val="0"/>
        <w:rPr>
          <w:rFonts w:eastAsia="仿宋_GB2312"/>
        </w:rPr>
      </w:pPr>
      <w:r w:rsidRPr="001336D5">
        <w:rPr>
          <w:rFonts w:eastAsia="仿宋_GB2312" w:hint="eastAsia"/>
        </w:rPr>
        <w:t>这一模式在实践中暴露出四方面突出问题：一是格式不统一，各港口、各企业自行设计模板，同一类单据的字段名称、数据项、计量单位、签署要求各不相同，跨港口、跨企业比对困难；二是数据不互通，纸质单证信息无法直接进入业务系统和监管系统，需要人工重复录入，既增加成本又易产生差错；三是核验成本高，单证真伪、签署效力、版本有效性主要依靠人工经验判断，缺乏统一的核验手段；四是证据链不完整，主单与辅助单据之间缺乏明确的关联标识，发生数量、质量或时间争议时，难以快速形成完整、可追溯的证据组合，争议处置周期长、成本高。</w:t>
      </w:r>
    </w:p>
    <w:p w14:paraId="2BD22B82" w14:textId="60A3EADB" w:rsidR="00B84ABE" w:rsidRDefault="00000000">
      <w:pPr>
        <w:adjustRightInd w:val="0"/>
        <w:snapToGrid w:val="0"/>
        <w:rPr>
          <w:rFonts w:eastAsia="仿宋_GB2312"/>
        </w:rPr>
      </w:pPr>
      <w:r>
        <w:rPr>
          <w:rFonts w:eastAsia="仿宋_GB2312" w:hint="eastAsia"/>
        </w:rPr>
        <w:t>综上，</w:t>
      </w:r>
      <w:r w:rsidR="001336D5" w:rsidRPr="001336D5">
        <w:rPr>
          <w:rFonts w:eastAsia="仿宋_GB2312"/>
        </w:rPr>
        <w:t>亟需制定一项专门标准，对船用燃料供应电子单证体系中数量最多、来源最杂的辅助单据做出统一规范。本文件的制定旨在：统一辅助单据的分类与基本信息要求，实现全行业单证格式统一、数据互通；明确主单与辅助单据的关联规则与成套性要求，形成完整可追溯的业务证据链；提出一致性管控与归档管理要求，为信息平台自动校</w:t>
      </w:r>
      <w:r w:rsidR="001336D5" w:rsidRPr="001336D5">
        <w:rPr>
          <w:rFonts w:eastAsia="仿宋_GB2312"/>
        </w:rPr>
        <w:lastRenderedPageBreak/>
        <w:t>验和监管穿透提供技术依据。本文件与系列标准第</w:t>
      </w:r>
      <w:r w:rsidR="001336D5" w:rsidRPr="001336D5">
        <w:rPr>
          <w:rFonts w:eastAsia="仿宋_GB2312"/>
        </w:rPr>
        <w:t>1</w:t>
      </w:r>
      <w:r w:rsidR="001336D5" w:rsidRPr="001336D5">
        <w:rPr>
          <w:rFonts w:eastAsia="仿宋_GB2312"/>
        </w:rPr>
        <w:t>部分、第</w:t>
      </w:r>
      <w:r w:rsidR="001336D5" w:rsidRPr="001336D5">
        <w:rPr>
          <w:rFonts w:eastAsia="仿宋_GB2312"/>
        </w:rPr>
        <w:t>2</w:t>
      </w:r>
      <w:r w:rsidR="001336D5" w:rsidRPr="001336D5">
        <w:rPr>
          <w:rFonts w:eastAsia="仿宋_GB2312"/>
        </w:rPr>
        <w:t>部分共同构成船用燃料供应电子单证的完整标准体系</w:t>
      </w:r>
      <w:r>
        <w:rPr>
          <w:rFonts w:eastAsia="仿宋_GB2312" w:hint="eastAsia"/>
        </w:rPr>
        <w:t>。</w:t>
      </w:r>
    </w:p>
    <w:p w14:paraId="38DBD439" w14:textId="77777777" w:rsidR="00B84ABE" w:rsidRDefault="00000000">
      <w:pPr>
        <w:adjustRightInd w:val="0"/>
        <w:snapToGrid w:val="0"/>
        <w:spacing w:beforeLines="50" w:before="156" w:afterLines="50" w:after="156"/>
        <w:ind w:firstLine="643"/>
        <w:outlineLvl w:val="1"/>
        <w:rPr>
          <w:rFonts w:eastAsia="楷体" w:cs="楷体"/>
          <w:b/>
          <w:bCs/>
        </w:rPr>
      </w:pPr>
      <w:bookmarkStart w:id="4" w:name="_Toc215734338"/>
      <w:r>
        <w:rPr>
          <w:rFonts w:eastAsia="楷体" w:cs="楷体" w:hint="eastAsia"/>
          <w:b/>
          <w:bCs/>
        </w:rPr>
        <w:t>（三）起草过程</w:t>
      </w:r>
      <w:bookmarkEnd w:id="4"/>
    </w:p>
    <w:p w14:paraId="646958CF" w14:textId="0B75C155" w:rsidR="00B84ABE" w:rsidRDefault="00000000">
      <w:pPr>
        <w:adjustRightInd w:val="0"/>
        <w:snapToGrid w:val="0"/>
        <w:rPr>
          <w:rFonts w:eastAsia="仿宋_GB2312"/>
        </w:rPr>
      </w:pPr>
      <w:bookmarkStart w:id="5" w:name="_Toc215734339"/>
      <w:r>
        <w:rPr>
          <w:rFonts w:eastAsia="仿宋_GB2312" w:hint="eastAsia"/>
        </w:rPr>
        <w:t>本文件制定由中国标准化协会船舶燃料供应分会归口，联合</w:t>
      </w:r>
      <w:r w:rsidR="001336D5" w:rsidRPr="001336D5">
        <w:rPr>
          <w:rFonts w:eastAsia="仿宋_GB2312" w:hint="eastAsia"/>
        </w:rPr>
        <w:t>中国船舶燃料有限责任公司、上海海事大学、</w:t>
      </w:r>
      <w:r w:rsidR="001336D5" w:rsidRPr="001336D5">
        <w:rPr>
          <w:rFonts w:eastAsia="仿宋_GB2312"/>
        </w:rPr>
        <w:t>中远海运科技股份有限公司</w:t>
      </w:r>
      <w:r w:rsidR="001336D5" w:rsidRPr="001336D5">
        <w:rPr>
          <w:rFonts w:eastAsia="仿宋_GB2312" w:hint="eastAsia"/>
        </w:rPr>
        <w:t>、</w:t>
      </w:r>
      <w:r w:rsidR="001336D5" w:rsidRPr="001336D5">
        <w:rPr>
          <w:rFonts w:eastAsia="仿宋_GB2312"/>
        </w:rPr>
        <w:t>中石油炼油特色产品有限公司</w:t>
      </w:r>
      <w:r w:rsidR="001336D5" w:rsidRPr="001336D5">
        <w:rPr>
          <w:rFonts w:eastAsia="仿宋_GB2312" w:hint="eastAsia"/>
        </w:rPr>
        <w:t>、</w:t>
      </w:r>
      <w:r w:rsidR="001336D5" w:rsidRPr="001336D5">
        <w:rPr>
          <w:rFonts w:eastAsia="仿宋_GB2312"/>
        </w:rPr>
        <w:t>洋山港海事局</w:t>
      </w:r>
      <w:r w:rsidR="001336D5" w:rsidRPr="001336D5">
        <w:rPr>
          <w:rFonts w:eastAsia="仿宋_GB2312" w:hint="eastAsia"/>
        </w:rPr>
        <w:t>、</w:t>
      </w:r>
      <w:r w:rsidR="001336D5" w:rsidRPr="001336D5">
        <w:rPr>
          <w:rFonts w:eastAsia="仿宋_GB2312"/>
        </w:rPr>
        <w:t>临港新片区管委会</w:t>
      </w:r>
      <w:r w:rsidR="001336D5" w:rsidRPr="001336D5">
        <w:rPr>
          <w:rFonts w:eastAsia="仿宋_GB2312" w:hint="eastAsia"/>
        </w:rPr>
        <w:t>、</w:t>
      </w:r>
      <w:proofErr w:type="gramStart"/>
      <w:r w:rsidR="001336D5" w:rsidRPr="001336D5">
        <w:rPr>
          <w:rFonts w:eastAsia="仿宋_GB2312"/>
        </w:rPr>
        <w:t>上海通银石油化工</w:t>
      </w:r>
      <w:proofErr w:type="gramEnd"/>
      <w:r w:rsidR="001336D5" w:rsidRPr="001336D5">
        <w:rPr>
          <w:rFonts w:eastAsia="仿宋_GB2312" w:hint="eastAsia"/>
        </w:rPr>
        <w:t>有</w:t>
      </w:r>
      <w:r w:rsidR="001336D5" w:rsidRPr="001336D5">
        <w:rPr>
          <w:rFonts w:eastAsia="仿宋_GB2312"/>
        </w:rPr>
        <w:t>限公司</w:t>
      </w:r>
      <w:r w:rsidR="001336D5" w:rsidRPr="001336D5">
        <w:rPr>
          <w:rFonts w:eastAsia="仿宋_GB2312" w:hint="eastAsia"/>
        </w:rPr>
        <w:t>、</w:t>
      </w:r>
      <w:r w:rsidR="001336D5" w:rsidRPr="001336D5">
        <w:rPr>
          <w:rFonts w:eastAsia="仿宋_GB2312"/>
        </w:rPr>
        <w:t>南京</w:t>
      </w:r>
      <w:r w:rsidR="001336D5" w:rsidRPr="006B4001">
        <w:rPr>
          <w:rFonts w:eastAsia="仿宋_GB2312"/>
        </w:rPr>
        <w:t>金源船务实业有限公司</w:t>
      </w:r>
      <w:r w:rsidR="001336D5">
        <w:rPr>
          <w:rFonts w:eastAsia="仿宋_GB2312" w:hint="eastAsia"/>
        </w:rPr>
        <w:t>、</w:t>
      </w:r>
      <w:proofErr w:type="gramStart"/>
      <w:r w:rsidR="001336D5" w:rsidRPr="006B4001">
        <w:rPr>
          <w:rFonts w:eastAsia="仿宋_GB2312" w:hint="eastAsia"/>
        </w:rPr>
        <w:t>恩德斯豪斯</w:t>
      </w:r>
      <w:proofErr w:type="gramEnd"/>
      <w:r w:rsidR="001336D5" w:rsidRPr="006B4001">
        <w:rPr>
          <w:rFonts w:eastAsia="仿宋_GB2312" w:hint="eastAsia"/>
        </w:rPr>
        <w:t>（中国）自动化有限公司</w:t>
      </w:r>
      <w:r w:rsidR="001336D5">
        <w:rPr>
          <w:rFonts w:eastAsia="仿宋_GB2312" w:hint="eastAsia"/>
        </w:rPr>
        <w:t>、</w:t>
      </w:r>
      <w:r w:rsidR="001336D5" w:rsidRPr="006B4001">
        <w:rPr>
          <w:rFonts w:eastAsia="仿宋_GB2312"/>
        </w:rPr>
        <w:t>中国船东协会</w:t>
      </w:r>
      <w:r>
        <w:rPr>
          <w:rFonts w:eastAsia="仿宋_GB2312" w:hint="eastAsia"/>
        </w:rPr>
        <w:t>等</w:t>
      </w:r>
      <w:r w:rsidR="001336D5">
        <w:rPr>
          <w:rFonts w:eastAsia="仿宋_GB2312" w:hint="eastAsia"/>
        </w:rPr>
        <w:t>单位</w:t>
      </w:r>
      <w:r>
        <w:rPr>
          <w:rFonts w:eastAsia="仿宋_GB2312" w:hint="eastAsia"/>
        </w:rPr>
        <w:t>，组织吸收科研、生产、供应、检验、信息化等方面的专家和技术人员共同完成。主要起草过程如下：</w:t>
      </w:r>
    </w:p>
    <w:p w14:paraId="2DB61F96" w14:textId="77777777" w:rsidR="001336D5" w:rsidRPr="001336D5" w:rsidRDefault="001336D5" w:rsidP="001336D5">
      <w:pPr>
        <w:adjustRightInd w:val="0"/>
        <w:snapToGrid w:val="0"/>
        <w:rPr>
          <w:rFonts w:eastAsia="仿宋_GB2312"/>
        </w:rPr>
      </w:pPr>
      <w:r w:rsidRPr="001336D5">
        <w:rPr>
          <w:rFonts w:eastAsia="仿宋_GB2312" w:hint="eastAsia"/>
        </w:rPr>
        <w:t>2026</w:t>
      </w:r>
      <w:r w:rsidRPr="001336D5">
        <w:rPr>
          <w:rFonts w:eastAsia="仿宋_GB2312" w:hint="eastAsia"/>
        </w:rPr>
        <w:t>年</w:t>
      </w:r>
      <w:r w:rsidRPr="001336D5">
        <w:rPr>
          <w:rFonts w:eastAsia="仿宋_GB2312" w:hint="eastAsia"/>
        </w:rPr>
        <w:t>1</w:t>
      </w:r>
      <w:r w:rsidRPr="001336D5">
        <w:rPr>
          <w:rFonts w:eastAsia="仿宋_GB2312" w:hint="eastAsia"/>
        </w:rPr>
        <w:t>月～</w:t>
      </w:r>
      <w:r w:rsidRPr="001336D5">
        <w:rPr>
          <w:rFonts w:eastAsia="仿宋_GB2312" w:hint="eastAsia"/>
        </w:rPr>
        <w:t>3</w:t>
      </w:r>
      <w:r w:rsidRPr="001336D5">
        <w:rPr>
          <w:rFonts w:eastAsia="仿宋_GB2312" w:hint="eastAsia"/>
        </w:rPr>
        <w:t>月，开展前期调研与资料收集。编制</w:t>
      </w:r>
      <w:proofErr w:type="gramStart"/>
      <w:r w:rsidRPr="001336D5">
        <w:rPr>
          <w:rFonts w:eastAsia="仿宋_GB2312" w:hint="eastAsia"/>
        </w:rPr>
        <w:t>组系统</w:t>
      </w:r>
      <w:proofErr w:type="gramEnd"/>
      <w:r w:rsidRPr="001336D5">
        <w:rPr>
          <w:rFonts w:eastAsia="仿宋_GB2312" w:hint="eastAsia"/>
        </w:rPr>
        <w:t>梳理国内外船用燃料供应单证管理制度、</w:t>
      </w:r>
      <w:r w:rsidRPr="001336D5">
        <w:rPr>
          <w:rFonts w:eastAsia="仿宋_GB2312" w:hint="eastAsia"/>
        </w:rPr>
        <w:t>IMO</w:t>
      </w:r>
      <w:r w:rsidRPr="001336D5">
        <w:rPr>
          <w:rFonts w:eastAsia="仿宋_GB2312" w:hint="eastAsia"/>
        </w:rPr>
        <w:t>与</w:t>
      </w:r>
      <w:r w:rsidRPr="001336D5">
        <w:rPr>
          <w:rFonts w:eastAsia="仿宋_GB2312" w:hint="eastAsia"/>
        </w:rPr>
        <w:t>ISO</w:t>
      </w:r>
      <w:r w:rsidRPr="001336D5">
        <w:rPr>
          <w:rFonts w:eastAsia="仿宋_GB2312" w:hint="eastAsia"/>
        </w:rPr>
        <w:t>相关标准、</w:t>
      </w:r>
      <w:r w:rsidRPr="001336D5">
        <w:rPr>
          <w:rFonts w:eastAsia="仿宋_GB2312" w:hint="eastAsia"/>
        </w:rPr>
        <w:t>GB/T 25346-2020</w:t>
      </w:r>
      <w:r w:rsidRPr="001336D5">
        <w:rPr>
          <w:rFonts w:eastAsia="仿宋_GB2312" w:hint="eastAsia"/>
        </w:rPr>
        <w:t>等国内标准，调研供油企业、航运企业、港口及海关、海事监管部门在燃料供应单证管理方面的业务现状与痛点，完成基础资料收集。</w:t>
      </w:r>
    </w:p>
    <w:p w14:paraId="3EE69B74" w14:textId="77777777" w:rsidR="001336D5" w:rsidRPr="001336D5" w:rsidRDefault="001336D5" w:rsidP="001336D5">
      <w:pPr>
        <w:adjustRightInd w:val="0"/>
        <w:snapToGrid w:val="0"/>
        <w:rPr>
          <w:rFonts w:eastAsia="仿宋_GB2312"/>
        </w:rPr>
      </w:pPr>
      <w:r w:rsidRPr="001336D5">
        <w:rPr>
          <w:rFonts w:eastAsia="仿宋_GB2312" w:hint="eastAsia"/>
        </w:rPr>
        <w:t>2026</w:t>
      </w:r>
      <w:r w:rsidRPr="001336D5">
        <w:rPr>
          <w:rFonts w:eastAsia="仿宋_GB2312" w:hint="eastAsia"/>
        </w:rPr>
        <w:t>年</w:t>
      </w:r>
      <w:r w:rsidRPr="001336D5">
        <w:rPr>
          <w:rFonts w:eastAsia="仿宋_GB2312" w:hint="eastAsia"/>
        </w:rPr>
        <w:t>4</w:t>
      </w:r>
      <w:r w:rsidRPr="001336D5">
        <w:rPr>
          <w:rFonts w:eastAsia="仿宋_GB2312" w:hint="eastAsia"/>
        </w:rPr>
        <w:t>月，确定研究方案。编制组在草案基础上明确以三元属性、一般原则、全流程管理、特殊场景与争议处置为主线的技术路线，针对电子签名、登记存证、离线应急等关键争议内容开展专项论证，形成研究方案。</w:t>
      </w:r>
    </w:p>
    <w:p w14:paraId="2FE68270" w14:textId="77777777" w:rsidR="001336D5" w:rsidRPr="001336D5" w:rsidRDefault="001336D5" w:rsidP="001336D5">
      <w:pPr>
        <w:adjustRightInd w:val="0"/>
        <w:snapToGrid w:val="0"/>
        <w:rPr>
          <w:rFonts w:eastAsia="仿宋_GB2312"/>
        </w:rPr>
      </w:pPr>
      <w:r w:rsidRPr="001336D5">
        <w:rPr>
          <w:rFonts w:eastAsia="仿宋_GB2312" w:hint="eastAsia"/>
        </w:rPr>
        <w:t>2026</w:t>
      </w:r>
      <w:r w:rsidRPr="001336D5">
        <w:rPr>
          <w:rFonts w:eastAsia="仿宋_GB2312" w:hint="eastAsia"/>
        </w:rPr>
        <w:t>年</w:t>
      </w:r>
      <w:r w:rsidRPr="001336D5">
        <w:rPr>
          <w:rFonts w:eastAsia="仿宋_GB2312" w:hint="eastAsia"/>
        </w:rPr>
        <w:t>5</w:t>
      </w:r>
      <w:r w:rsidRPr="001336D5">
        <w:rPr>
          <w:rFonts w:eastAsia="仿宋_GB2312" w:hint="eastAsia"/>
        </w:rPr>
        <w:t>月，正式组建编制组并立项。由中国船舶燃料有限责任公司、上海海事大学、中远海运科技股份有限</w:t>
      </w:r>
      <w:r w:rsidRPr="001336D5">
        <w:rPr>
          <w:rFonts w:eastAsia="仿宋_GB2312" w:hint="eastAsia"/>
        </w:rPr>
        <w:lastRenderedPageBreak/>
        <w:t>公司等单位联合提出编制需求，完成立项程序；编制组召开启动会，明确成员职责分工，确立以单证全生命周期闭环管理为核心的编写思路。</w:t>
      </w:r>
    </w:p>
    <w:p w14:paraId="3926DF99" w14:textId="77777777" w:rsidR="001336D5" w:rsidRPr="001336D5" w:rsidRDefault="001336D5" w:rsidP="001336D5">
      <w:pPr>
        <w:adjustRightInd w:val="0"/>
        <w:snapToGrid w:val="0"/>
        <w:rPr>
          <w:rFonts w:eastAsia="仿宋_GB2312"/>
        </w:rPr>
      </w:pPr>
      <w:r w:rsidRPr="001336D5">
        <w:rPr>
          <w:rFonts w:eastAsia="仿宋_GB2312" w:hint="eastAsia"/>
        </w:rPr>
        <w:t>2026</w:t>
      </w:r>
      <w:r w:rsidRPr="001336D5">
        <w:rPr>
          <w:rFonts w:eastAsia="仿宋_GB2312" w:hint="eastAsia"/>
        </w:rPr>
        <w:t>年</w:t>
      </w:r>
      <w:r w:rsidRPr="001336D5">
        <w:rPr>
          <w:rFonts w:eastAsia="仿宋_GB2312" w:hint="eastAsia"/>
        </w:rPr>
        <w:t>6</w:t>
      </w:r>
      <w:r w:rsidRPr="001336D5">
        <w:rPr>
          <w:rFonts w:eastAsia="仿宋_GB2312" w:hint="eastAsia"/>
        </w:rPr>
        <w:t>月～</w:t>
      </w:r>
      <w:r w:rsidRPr="001336D5">
        <w:rPr>
          <w:rFonts w:eastAsia="仿宋_GB2312" w:hint="eastAsia"/>
        </w:rPr>
        <w:t>7</w:t>
      </w:r>
      <w:r w:rsidRPr="001336D5">
        <w:rPr>
          <w:rFonts w:eastAsia="仿宋_GB2312" w:hint="eastAsia"/>
        </w:rPr>
        <w:t>月，现场调研。对船舶加注作业、海关与海事监管流程、现有</w:t>
      </w:r>
      <w:r w:rsidRPr="001336D5">
        <w:rPr>
          <w:rFonts w:eastAsia="仿宋_GB2312" w:hint="eastAsia"/>
        </w:rPr>
        <w:t>EBDN</w:t>
      </w:r>
      <w:r w:rsidRPr="001336D5">
        <w:rPr>
          <w:rFonts w:eastAsia="仿宋_GB2312" w:hint="eastAsia"/>
        </w:rPr>
        <w:t>信息平台等进行现场调研，形成调研报告。</w:t>
      </w:r>
    </w:p>
    <w:p w14:paraId="235CD36A" w14:textId="77777777" w:rsidR="001336D5" w:rsidRPr="001336D5" w:rsidRDefault="001336D5" w:rsidP="001336D5">
      <w:pPr>
        <w:adjustRightInd w:val="0"/>
        <w:snapToGrid w:val="0"/>
        <w:rPr>
          <w:rFonts w:eastAsia="仿宋_GB2312"/>
        </w:rPr>
      </w:pPr>
      <w:r w:rsidRPr="001336D5">
        <w:rPr>
          <w:rFonts w:eastAsia="仿宋_GB2312" w:hint="eastAsia"/>
        </w:rPr>
        <w:t>2026</w:t>
      </w:r>
      <w:r w:rsidRPr="001336D5">
        <w:rPr>
          <w:rFonts w:eastAsia="仿宋_GB2312" w:hint="eastAsia"/>
        </w:rPr>
        <w:t>年</w:t>
      </w:r>
      <w:r w:rsidRPr="001336D5">
        <w:rPr>
          <w:rFonts w:eastAsia="仿宋_GB2312" w:hint="eastAsia"/>
        </w:rPr>
        <w:t>8</w:t>
      </w:r>
      <w:r w:rsidRPr="001336D5">
        <w:rPr>
          <w:rFonts w:eastAsia="仿宋_GB2312" w:hint="eastAsia"/>
        </w:rPr>
        <w:t>月，根据前期调研与研究结果，编制组编制标准初稿，并经多轮专家研讨，完善优化标准文本、细化条款、规范表述，完成标准的征求意见稿（</w:t>
      </w:r>
      <w:r w:rsidRPr="001336D5">
        <w:rPr>
          <w:rFonts w:eastAsia="仿宋_GB2312" w:hint="eastAsia"/>
        </w:rPr>
        <w:t>T/CBS XXXX</w:t>
      </w:r>
      <w:r w:rsidRPr="001336D5">
        <w:rPr>
          <w:rFonts w:eastAsia="仿宋_GB2312" w:hint="eastAsia"/>
        </w:rPr>
        <w:t>）及编制说明的编制。</w:t>
      </w:r>
    </w:p>
    <w:p w14:paraId="72FDAC42" w14:textId="296DF24E" w:rsidR="00B84ABE" w:rsidRDefault="001336D5">
      <w:pPr>
        <w:adjustRightInd w:val="0"/>
        <w:snapToGrid w:val="0"/>
        <w:rPr>
          <w:rFonts w:eastAsia="仿宋_GB2312" w:cs="Arial"/>
          <w:bCs/>
        </w:rPr>
      </w:pPr>
      <w:r w:rsidRPr="001336D5">
        <w:rPr>
          <w:rFonts w:eastAsia="仿宋_GB2312" w:hint="eastAsia"/>
        </w:rPr>
        <w:t>2026</w:t>
      </w:r>
      <w:r w:rsidRPr="001336D5">
        <w:rPr>
          <w:rFonts w:eastAsia="仿宋_GB2312" w:hint="eastAsia"/>
        </w:rPr>
        <w:t>年</w:t>
      </w:r>
      <w:r w:rsidRPr="001336D5">
        <w:rPr>
          <w:rFonts w:eastAsia="仿宋_GB2312" w:hint="eastAsia"/>
        </w:rPr>
        <w:t>8</w:t>
      </w:r>
      <w:r w:rsidRPr="001336D5">
        <w:rPr>
          <w:rFonts w:eastAsia="仿宋_GB2312" w:hint="eastAsia"/>
        </w:rPr>
        <w:t>月</w:t>
      </w:r>
      <w:r w:rsidRPr="001336D5">
        <w:rPr>
          <w:rFonts w:eastAsia="仿宋_GB2312" w:hint="eastAsia"/>
        </w:rPr>
        <w:t>-9</w:t>
      </w:r>
      <w:r w:rsidRPr="001336D5">
        <w:rPr>
          <w:rFonts w:eastAsia="仿宋_GB2312" w:hint="eastAsia"/>
        </w:rPr>
        <w:t>月，内部征求意见。通过向参与标准编制的单位广泛征集意见，经梳理、论证后修改完善，形成标准送审稿及编制说明</w:t>
      </w:r>
      <w:r>
        <w:rPr>
          <w:rFonts w:eastAsia="仿宋_GB2312" w:cs="Arial" w:hint="eastAsia"/>
          <w:bCs/>
        </w:rPr>
        <w:t>。</w:t>
      </w:r>
    </w:p>
    <w:p w14:paraId="08C65D7C" w14:textId="77777777" w:rsidR="00B84ABE" w:rsidRDefault="00000000">
      <w:pPr>
        <w:pStyle w:val="1"/>
        <w:adjustRightInd w:val="0"/>
        <w:snapToGrid w:val="0"/>
        <w:spacing w:beforeLines="50" w:before="156" w:afterLines="50" w:after="156" w:line="360" w:lineRule="auto"/>
        <w:ind w:firstLineChars="0" w:firstLine="0"/>
        <w:rPr>
          <w:rFonts w:eastAsia="黑体"/>
        </w:rPr>
      </w:pPr>
      <w:r>
        <w:rPr>
          <w:rFonts w:eastAsia="黑体" w:hint="eastAsia"/>
        </w:rPr>
        <w:t>二、标准编制原则、主要内容及其确定依据</w:t>
      </w:r>
      <w:bookmarkEnd w:id="5"/>
    </w:p>
    <w:p w14:paraId="3CFD1B1D" w14:textId="77777777" w:rsidR="00B84ABE" w:rsidRDefault="00000000">
      <w:pPr>
        <w:adjustRightInd w:val="0"/>
        <w:snapToGrid w:val="0"/>
        <w:spacing w:beforeLines="50" w:before="156" w:afterLines="50" w:after="156"/>
        <w:ind w:firstLine="643"/>
        <w:outlineLvl w:val="1"/>
        <w:rPr>
          <w:rFonts w:eastAsia="楷体" w:cs="楷体"/>
          <w:b/>
          <w:bCs/>
        </w:rPr>
      </w:pPr>
      <w:bookmarkStart w:id="6" w:name="_Toc215734340"/>
      <w:r>
        <w:rPr>
          <w:rFonts w:eastAsia="楷体" w:cs="楷体" w:hint="eastAsia"/>
          <w:b/>
          <w:bCs/>
        </w:rPr>
        <w:t>（一）标准编制原则</w:t>
      </w:r>
      <w:bookmarkEnd w:id="6"/>
    </w:p>
    <w:p w14:paraId="550602CC" w14:textId="77777777" w:rsidR="00B84ABE" w:rsidRDefault="00000000">
      <w:pPr>
        <w:adjustRightInd w:val="0"/>
        <w:snapToGrid w:val="0"/>
        <w:rPr>
          <w:rFonts w:eastAsia="仿宋_GB2312"/>
        </w:rPr>
      </w:pPr>
      <w:r>
        <w:rPr>
          <w:rFonts w:eastAsia="仿宋_GB2312"/>
        </w:rPr>
        <w:t>1</w:t>
      </w:r>
      <w:r>
        <w:rPr>
          <w:rFonts w:eastAsia="仿宋_GB2312" w:hint="eastAsia"/>
        </w:rPr>
        <w:t>、按照</w:t>
      </w:r>
      <w:r>
        <w:rPr>
          <w:rFonts w:eastAsia="仿宋_GB2312"/>
        </w:rPr>
        <w:t>GB/T</w:t>
      </w:r>
      <w:r>
        <w:rPr>
          <w:rFonts w:eastAsia="仿宋_GB2312" w:hint="eastAsia"/>
        </w:rPr>
        <w:t xml:space="preserve"> </w:t>
      </w:r>
      <w:r>
        <w:rPr>
          <w:rFonts w:eastAsia="仿宋_GB2312"/>
        </w:rPr>
        <w:t>1.1</w:t>
      </w:r>
      <w:r>
        <w:rPr>
          <w:rFonts w:eastAsia="仿宋_GB2312" w:hint="eastAsia"/>
        </w:rPr>
        <w:t>—</w:t>
      </w:r>
      <w:r>
        <w:rPr>
          <w:rFonts w:eastAsia="仿宋_GB2312"/>
        </w:rPr>
        <w:t>2020</w:t>
      </w:r>
      <w:r>
        <w:rPr>
          <w:rFonts w:eastAsia="仿宋_GB2312" w:hint="eastAsia"/>
        </w:rPr>
        <w:t>《标准化工作导则第</w:t>
      </w:r>
      <w:r>
        <w:rPr>
          <w:rFonts w:eastAsia="仿宋_GB2312"/>
        </w:rPr>
        <w:t>1</w:t>
      </w:r>
      <w:r>
        <w:rPr>
          <w:rFonts w:eastAsia="仿宋_GB2312" w:hint="eastAsia"/>
        </w:rPr>
        <w:t>部分：标准化文件的结构和起草规则》的相关要求和规定，编写本文件内容。</w:t>
      </w:r>
    </w:p>
    <w:p w14:paraId="62A62F16" w14:textId="078D00CE" w:rsidR="00B84ABE" w:rsidRDefault="00000000">
      <w:pPr>
        <w:adjustRightInd w:val="0"/>
        <w:snapToGrid w:val="0"/>
        <w:rPr>
          <w:rFonts w:eastAsia="仿宋_GB2312"/>
        </w:rPr>
      </w:pPr>
      <w:r>
        <w:rPr>
          <w:rFonts w:eastAsia="仿宋_GB2312"/>
        </w:rPr>
        <w:t>2</w:t>
      </w:r>
      <w:r>
        <w:rPr>
          <w:rFonts w:eastAsia="仿宋_GB2312" w:hint="eastAsia"/>
        </w:rPr>
        <w:t>、</w:t>
      </w:r>
      <w:r>
        <w:rPr>
          <w:rFonts w:eastAsia="仿宋_GB2312"/>
        </w:rPr>
        <w:t>本文件</w:t>
      </w:r>
      <w:r w:rsidR="00723A68" w:rsidRPr="00723A68">
        <w:rPr>
          <w:rFonts w:eastAsia="仿宋_GB2312"/>
        </w:rPr>
        <w:t>立足国内业务实际，兼顾国际通行做法。以国内主要加注港口在用单证为基础进行归并统一，同时充分吸纳</w:t>
      </w:r>
      <w:r w:rsidR="00723A68" w:rsidRPr="00723A68">
        <w:rPr>
          <w:rFonts w:eastAsia="仿宋_GB2312"/>
        </w:rPr>
        <w:t>MARPOL</w:t>
      </w:r>
      <w:r w:rsidR="00723A68" w:rsidRPr="00723A68">
        <w:rPr>
          <w:rFonts w:eastAsia="仿宋_GB2312"/>
        </w:rPr>
        <w:t>附则</w:t>
      </w:r>
      <w:r w:rsidR="00723A68" w:rsidRPr="00723A68">
        <w:rPr>
          <w:rFonts w:eastAsia="仿宋_GB2312"/>
        </w:rPr>
        <w:t>VI</w:t>
      </w:r>
      <w:r w:rsidR="00723A68" w:rsidRPr="00723A68">
        <w:rPr>
          <w:rFonts w:eastAsia="仿宋_GB2312"/>
        </w:rPr>
        <w:t>、</w:t>
      </w:r>
      <w:r w:rsidR="00723A68" w:rsidRPr="00723A68">
        <w:rPr>
          <w:rFonts w:eastAsia="仿宋_GB2312"/>
        </w:rPr>
        <w:t>ISO 8217</w:t>
      </w:r>
      <w:r w:rsidR="00723A68" w:rsidRPr="00723A68">
        <w:rPr>
          <w:rFonts w:eastAsia="仿宋_GB2312"/>
        </w:rPr>
        <w:t>等国际规则以及国际行</w:t>
      </w:r>
      <w:r w:rsidR="00723A68" w:rsidRPr="00723A68">
        <w:rPr>
          <w:rFonts w:eastAsia="仿宋_GB2312"/>
        </w:rPr>
        <w:lastRenderedPageBreak/>
        <w:t>业组织通行做法，保证单证体系与国际要求相衔接</w:t>
      </w:r>
      <w:r>
        <w:rPr>
          <w:rFonts w:eastAsia="仿宋_GB2312" w:hint="eastAsia"/>
        </w:rPr>
        <w:t>。</w:t>
      </w:r>
    </w:p>
    <w:p w14:paraId="1C695D2D" w14:textId="77777777" w:rsidR="00B84ABE" w:rsidRDefault="00000000">
      <w:pPr>
        <w:adjustRightInd w:val="0"/>
        <w:snapToGrid w:val="0"/>
        <w:spacing w:beforeLines="50" w:before="156" w:afterLines="50" w:after="156"/>
        <w:ind w:firstLine="643"/>
        <w:outlineLvl w:val="1"/>
        <w:rPr>
          <w:rFonts w:eastAsia="楷体" w:cs="楷体"/>
          <w:b/>
          <w:bCs/>
        </w:rPr>
      </w:pPr>
      <w:bookmarkStart w:id="7" w:name="_Toc215734341"/>
      <w:r>
        <w:rPr>
          <w:rFonts w:eastAsia="楷体" w:cs="楷体" w:hint="eastAsia"/>
          <w:b/>
          <w:bCs/>
        </w:rPr>
        <w:t>（二）主要技术内容及确定依据</w:t>
      </w:r>
      <w:bookmarkEnd w:id="7"/>
    </w:p>
    <w:p w14:paraId="11283655" w14:textId="77777777" w:rsidR="00B84ABE"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bookmarkStart w:id="8" w:name="_Toc466470257"/>
      <w:bookmarkStart w:id="9" w:name="_Toc215734342"/>
      <w:bookmarkStart w:id="10" w:name="_Toc466361599"/>
      <w:bookmarkStart w:id="11" w:name="_Toc26140"/>
      <w:bookmarkStart w:id="12" w:name="_Toc477247002"/>
      <w:bookmarkStart w:id="13" w:name="_Toc469992089"/>
      <w:bookmarkStart w:id="14" w:name="_Toc30969"/>
      <w:bookmarkStart w:id="15" w:name="_Toc28340"/>
      <w:bookmarkStart w:id="16" w:name="_Toc215709409"/>
      <w:bookmarkStart w:id="17" w:name="_Toc466470278"/>
      <w:r>
        <w:rPr>
          <w:rFonts w:ascii="Times New Roman" w:eastAsia="仿宋_GB2312" w:cs="黑体" w:hint="eastAsia"/>
          <w:sz w:val="32"/>
          <w:szCs w:val="32"/>
        </w:rPr>
        <w:t>1</w:t>
      </w:r>
      <w:r>
        <w:rPr>
          <w:rFonts w:ascii="Times New Roman" w:eastAsia="仿宋_GB2312" w:cs="黑体" w:hint="eastAsia"/>
          <w:sz w:val="32"/>
          <w:szCs w:val="32"/>
        </w:rPr>
        <w:t>、范围</w:t>
      </w:r>
      <w:bookmarkEnd w:id="8"/>
      <w:bookmarkEnd w:id="9"/>
      <w:bookmarkEnd w:id="10"/>
      <w:bookmarkEnd w:id="11"/>
      <w:bookmarkEnd w:id="12"/>
      <w:bookmarkEnd w:id="13"/>
      <w:bookmarkEnd w:id="14"/>
      <w:bookmarkEnd w:id="15"/>
      <w:bookmarkEnd w:id="16"/>
      <w:bookmarkEnd w:id="17"/>
    </w:p>
    <w:p w14:paraId="4EB90A15" w14:textId="2D3F06C6" w:rsidR="00B84ABE" w:rsidRDefault="00D515DA">
      <w:pPr>
        <w:pStyle w:val="aff5"/>
        <w:widowControl w:val="0"/>
        <w:adjustRightInd w:val="0"/>
        <w:snapToGrid w:val="0"/>
        <w:spacing w:line="360" w:lineRule="auto"/>
        <w:ind w:firstLine="640"/>
        <w:rPr>
          <w:rFonts w:ascii="Times New Roman" w:eastAsia="仿宋_GB2312"/>
          <w:sz w:val="32"/>
          <w:szCs w:val="32"/>
        </w:rPr>
      </w:pPr>
      <w:r w:rsidRPr="00D515DA">
        <w:rPr>
          <w:rFonts w:ascii="Times New Roman" w:eastAsia="仿宋_GB2312"/>
          <w:sz w:val="32"/>
          <w:szCs w:val="32"/>
        </w:rPr>
        <w:t>本文件规定了船用燃料供应电子单证的主单规范、辅助单据分类与规范、主单与辅助单据的关联规则、成套性要求、一致性管控要求、归档与管理要求，适用于船用燃料供应电子单证的模板设计、生成、签发、登记、归档全流程管理，以及</w:t>
      </w:r>
      <w:proofErr w:type="gramStart"/>
      <w:r w:rsidRPr="00D515DA">
        <w:rPr>
          <w:rFonts w:ascii="Times New Roman" w:eastAsia="仿宋_GB2312"/>
          <w:sz w:val="32"/>
          <w:szCs w:val="32"/>
        </w:rPr>
        <w:t>供应链各参与</w:t>
      </w:r>
      <w:proofErr w:type="gramEnd"/>
      <w:r w:rsidRPr="00D515DA">
        <w:rPr>
          <w:rFonts w:ascii="Times New Roman" w:eastAsia="仿宋_GB2312"/>
          <w:sz w:val="32"/>
          <w:szCs w:val="32"/>
        </w:rPr>
        <w:t>方对主单与辅助单据的使用与管理</w:t>
      </w:r>
      <w:r>
        <w:rPr>
          <w:rFonts w:ascii="Times New Roman" w:eastAsia="仿宋_GB2312" w:hint="eastAsia"/>
          <w:sz w:val="32"/>
          <w:szCs w:val="32"/>
        </w:rPr>
        <w:t>。</w:t>
      </w:r>
    </w:p>
    <w:p w14:paraId="2BC4B21B" w14:textId="77777777" w:rsidR="00B84ABE" w:rsidRDefault="00000000">
      <w:pPr>
        <w:pStyle w:val="aff5"/>
        <w:widowControl w:val="0"/>
        <w:adjustRightInd w:val="0"/>
        <w:snapToGrid w:val="0"/>
        <w:spacing w:line="360" w:lineRule="auto"/>
        <w:ind w:firstLine="643"/>
        <w:rPr>
          <w:rFonts w:ascii="Times New Roman" w:eastAsia="仿宋_GB2312"/>
          <w:b/>
          <w:bCs/>
          <w:sz w:val="32"/>
          <w:szCs w:val="32"/>
        </w:rPr>
      </w:pPr>
      <w:r>
        <w:rPr>
          <w:rFonts w:ascii="Times New Roman" w:eastAsia="仿宋_GB2312" w:hint="eastAsia"/>
          <w:b/>
          <w:bCs/>
          <w:sz w:val="32"/>
          <w:szCs w:val="32"/>
        </w:rPr>
        <w:t>理由及依据：</w:t>
      </w:r>
    </w:p>
    <w:p w14:paraId="33F16D8E" w14:textId="46558B42" w:rsidR="00B84ABE" w:rsidRDefault="00D515DA" w:rsidP="00723A68">
      <w:pPr>
        <w:pStyle w:val="aff5"/>
        <w:widowControl w:val="0"/>
        <w:adjustRightInd w:val="0"/>
        <w:snapToGrid w:val="0"/>
        <w:spacing w:line="360" w:lineRule="auto"/>
        <w:ind w:firstLine="640"/>
        <w:rPr>
          <w:rFonts w:ascii="Times New Roman" w:eastAsia="仿宋_GB2312"/>
          <w:kern w:val="2"/>
          <w:sz w:val="32"/>
          <w:szCs w:val="32"/>
          <w14:ligatures w14:val="standardContextual"/>
        </w:rPr>
      </w:pPr>
      <w:r w:rsidRPr="00D515DA">
        <w:rPr>
          <w:rFonts w:ascii="Times New Roman" w:eastAsia="仿宋_GB2312"/>
          <w:sz w:val="32"/>
          <w:szCs w:val="32"/>
        </w:rPr>
        <w:t>本文件聚焦船用燃料供应电子单证中主单与辅助单据的配套关系，将辅助单据基本信息纳入统一规范。范围表述与</w:t>
      </w:r>
      <w:r w:rsidRPr="00D515DA">
        <w:rPr>
          <w:rFonts w:ascii="Times New Roman" w:eastAsia="仿宋_GB2312"/>
          <w:sz w:val="32"/>
          <w:szCs w:val="32"/>
        </w:rPr>
        <w:t>GB/T 25346—2020</w:t>
      </w:r>
      <w:r w:rsidRPr="00D515DA">
        <w:rPr>
          <w:rFonts w:ascii="Times New Roman" w:eastAsia="仿宋_GB2312"/>
          <w:sz w:val="32"/>
          <w:szCs w:val="32"/>
        </w:rPr>
        <w:t>《船舶供受燃油规程》</w:t>
      </w:r>
      <w:proofErr w:type="gramStart"/>
      <w:r w:rsidRPr="00D515DA">
        <w:rPr>
          <w:rFonts w:ascii="Times New Roman" w:eastAsia="仿宋_GB2312"/>
          <w:sz w:val="32"/>
          <w:szCs w:val="32"/>
        </w:rPr>
        <w:t>的供受油</w:t>
      </w:r>
      <w:proofErr w:type="gramEnd"/>
      <w:r w:rsidRPr="00D515DA">
        <w:rPr>
          <w:rFonts w:ascii="Times New Roman" w:eastAsia="仿宋_GB2312"/>
          <w:sz w:val="32"/>
          <w:szCs w:val="32"/>
        </w:rPr>
        <w:t>作业流程相衔接，明确本文件对主单内容、辅助单据分类、关联成套和归档管理的要求边界，与第</w:t>
      </w:r>
      <w:r w:rsidRPr="00D515DA">
        <w:rPr>
          <w:rFonts w:ascii="Times New Roman" w:eastAsia="仿宋_GB2312"/>
          <w:sz w:val="32"/>
          <w:szCs w:val="32"/>
        </w:rPr>
        <w:t>1</w:t>
      </w:r>
      <w:r w:rsidRPr="00D515DA">
        <w:rPr>
          <w:rFonts w:ascii="Times New Roman" w:eastAsia="仿宋_GB2312"/>
          <w:sz w:val="32"/>
          <w:szCs w:val="32"/>
        </w:rPr>
        <w:t>部分（通用要求）、第</w:t>
      </w:r>
      <w:r w:rsidRPr="00D515DA">
        <w:rPr>
          <w:rFonts w:ascii="Times New Roman" w:eastAsia="仿宋_GB2312"/>
          <w:sz w:val="32"/>
          <w:szCs w:val="32"/>
        </w:rPr>
        <w:t>2</w:t>
      </w:r>
      <w:r w:rsidRPr="00D515DA">
        <w:rPr>
          <w:rFonts w:ascii="Times New Roman" w:eastAsia="仿宋_GB2312"/>
          <w:sz w:val="32"/>
          <w:szCs w:val="32"/>
        </w:rPr>
        <w:t>部分（信息平台与数据接口要求）形成分层体系</w:t>
      </w:r>
      <w:r w:rsidRPr="00CB6B24">
        <w:rPr>
          <w:rFonts w:ascii="Times New Roman" w:eastAsia="仿宋_GB2312"/>
          <w:kern w:val="2"/>
          <w:sz w:val="32"/>
          <w:szCs w:val="32"/>
          <w14:ligatures w14:val="standardContextual"/>
        </w:rPr>
        <w:t>。</w:t>
      </w:r>
    </w:p>
    <w:p w14:paraId="5004BFD2" w14:textId="77777777" w:rsidR="00B84ABE"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bookmarkStart w:id="18" w:name="_Toc215734343"/>
      <w:bookmarkStart w:id="19" w:name="_Toc8330"/>
      <w:bookmarkStart w:id="20" w:name="_Toc896"/>
      <w:bookmarkStart w:id="21" w:name="_Toc469992090"/>
      <w:bookmarkStart w:id="22" w:name="_Toc215709410"/>
      <w:bookmarkStart w:id="23" w:name="_Toc477247003"/>
      <w:bookmarkStart w:id="24" w:name="_Toc466361600"/>
      <w:bookmarkStart w:id="25" w:name="_Toc466470279"/>
      <w:bookmarkStart w:id="26" w:name="_Toc25876"/>
      <w:bookmarkStart w:id="27" w:name="_Toc466470258"/>
      <w:bookmarkStart w:id="28" w:name="_Toc12481"/>
      <w:bookmarkStart w:id="29" w:name="_Toc31175"/>
      <w:bookmarkStart w:id="30" w:name="_Toc28384"/>
      <w:bookmarkStart w:id="31" w:name="_Toc8123"/>
      <w:bookmarkStart w:id="32" w:name="_Toc28327"/>
      <w:r>
        <w:rPr>
          <w:rFonts w:ascii="Times New Roman" w:eastAsia="仿宋_GB2312" w:cs="黑体" w:hint="eastAsia"/>
          <w:sz w:val="32"/>
          <w:szCs w:val="32"/>
        </w:rPr>
        <w:t>2</w:t>
      </w:r>
      <w:r>
        <w:rPr>
          <w:rFonts w:ascii="Times New Roman" w:eastAsia="仿宋_GB2312" w:cs="黑体" w:hint="eastAsia"/>
          <w:sz w:val="32"/>
          <w:szCs w:val="32"/>
        </w:rPr>
        <w:t>、规范性引用文件</w:t>
      </w:r>
      <w:bookmarkEnd w:id="18"/>
      <w:bookmarkEnd w:id="19"/>
      <w:bookmarkEnd w:id="20"/>
      <w:bookmarkEnd w:id="21"/>
      <w:bookmarkEnd w:id="22"/>
      <w:bookmarkEnd w:id="23"/>
      <w:bookmarkEnd w:id="24"/>
      <w:bookmarkEnd w:id="25"/>
      <w:bookmarkEnd w:id="26"/>
      <w:bookmarkEnd w:id="27"/>
    </w:p>
    <w:bookmarkEnd w:id="28"/>
    <w:bookmarkEnd w:id="29"/>
    <w:bookmarkEnd w:id="30"/>
    <w:bookmarkEnd w:id="31"/>
    <w:bookmarkEnd w:id="32"/>
    <w:p w14:paraId="613FAFF5" w14:textId="6BAF2523" w:rsidR="00B84ABE" w:rsidRDefault="00D515DA">
      <w:pPr>
        <w:adjustRightInd w:val="0"/>
        <w:snapToGrid w:val="0"/>
        <w:rPr>
          <w:rFonts w:eastAsia="仿宋_GB2312"/>
        </w:rPr>
      </w:pPr>
      <w:r w:rsidRPr="00D515DA">
        <w:rPr>
          <w:rFonts w:eastAsia="仿宋_GB2312"/>
        </w:rPr>
        <w:t>本文件列出了构成其必不可少条款的规范性引用文件，包括</w:t>
      </w:r>
      <w:r w:rsidRPr="00D515DA">
        <w:rPr>
          <w:rFonts w:eastAsia="仿宋_GB2312"/>
        </w:rPr>
        <w:t>GB/T 25346—2020</w:t>
      </w:r>
      <w:r w:rsidRPr="00D515DA">
        <w:rPr>
          <w:rFonts w:eastAsia="仿宋_GB2312"/>
        </w:rPr>
        <w:t>《船舶供受燃油规程》、</w:t>
      </w:r>
      <w:r w:rsidRPr="00D515DA">
        <w:rPr>
          <w:rFonts w:eastAsia="仿宋_GB2312"/>
        </w:rPr>
        <w:t>GB/T 45487—2025</w:t>
      </w:r>
      <w:r w:rsidRPr="00D515DA">
        <w:rPr>
          <w:rFonts w:eastAsia="仿宋_GB2312"/>
        </w:rPr>
        <w:t>《船舶与海上技术</w:t>
      </w:r>
      <w:r w:rsidRPr="00D515DA">
        <w:rPr>
          <w:rFonts w:eastAsia="仿宋_GB2312"/>
        </w:rPr>
        <w:t xml:space="preserve"> </w:t>
      </w:r>
      <w:r w:rsidRPr="00D515DA">
        <w:rPr>
          <w:rFonts w:eastAsia="仿宋_GB2312"/>
        </w:rPr>
        <w:t>海上环境保护</w:t>
      </w:r>
      <w:r w:rsidRPr="00D515DA">
        <w:rPr>
          <w:rFonts w:eastAsia="仿宋_GB2312"/>
        </w:rPr>
        <w:t xml:space="preserve"> </w:t>
      </w:r>
      <w:r w:rsidRPr="00D515DA">
        <w:rPr>
          <w:rFonts w:eastAsia="仿宋_GB2312"/>
        </w:rPr>
        <w:t>船舶燃油消耗数据收集规范》、</w:t>
      </w:r>
      <w:r w:rsidRPr="00D515DA">
        <w:rPr>
          <w:rFonts w:eastAsia="仿宋_GB2312"/>
        </w:rPr>
        <w:t>ISO 8217</w:t>
      </w:r>
      <w:r w:rsidRPr="00D515DA">
        <w:rPr>
          <w:rFonts w:eastAsia="仿宋_GB2312"/>
        </w:rPr>
        <w:t>《</w:t>
      </w:r>
      <w:r w:rsidR="00F553DE" w:rsidRPr="00F553DE">
        <w:rPr>
          <w:rFonts w:eastAsia="仿宋_GB2312"/>
        </w:rPr>
        <w:t>石油、合成和可再生能源产</w:t>
      </w:r>
      <w:r w:rsidR="00F553DE" w:rsidRPr="00F553DE">
        <w:rPr>
          <w:rFonts w:eastAsia="仿宋_GB2312"/>
        </w:rPr>
        <w:lastRenderedPageBreak/>
        <w:t>品燃料（</w:t>
      </w:r>
      <w:r w:rsidR="00F553DE" w:rsidRPr="00F553DE">
        <w:rPr>
          <w:rFonts w:eastAsia="仿宋_GB2312"/>
        </w:rPr>
        <w:t>F</w:t>
      </w:r>
      <w:r w:rsidR="00F553DE" w:rsidRPr="00F553DE">
        <w:rPr>
          <w:rFonts w:eastAsia="仿宋_GB2312"/>
        </w:rPr>
        <w:t>类）船用燃料规范</w:t>
      </w:r>
      <w:r w:rsidRPr="00D515DA">
        <w:rPr>
          <w:rFonts w:eastAsia="仿宋_GB2312"/>
        </w:rPr>
        <w:t>》，以及系列标准第</w:t>
      </w:r>
      <w:r w:rsidRPr="00D515DA">
        <w:rPr>
          <w:rFonts w:eastAsia="仿宋_GB2312"/>
        </w:rPr>
        <w:t>1</w:t>
      </w:r>
      <w:r w:rsidRPr="00D515DA">
        <w:rPr>
          <w:rFonts w:eastAsia="仿宋_GB2312"/>
        </w:rPr>
        <w:t>部分</w:t>
      </w:r>
      <w:r w:rsidRPr="00F34EE5">
        <w:rPr>
          <w:rFonts w:eastAsia="仿宋_GB2312"/>
        </w:rPr>
        <w:t>T/XXXXXXXX</w:t>
      </w:r>
      <w:r w:rsidRPr="00D515DA">
        <w:rPr>
          <w:rFonts w:eastAsia="仿宋_GB2312"/>
        </w:rPr>
        <w:t>—2026</w:t>
      </w:r>
      <w:r w:rsidRPr="00D515DA">
        <w:rPr>
          <w:rFonts w:eastAsia="仿宋_GB2312"/>
        </w:rPr>
        <w:t>《船用燃料供应电子单证技术规范</w:t>
      </w:r>
      <w:r w:rsidRPr="00D515DA">
        <w:rPr>
          <w:rFonts w:eastAsia="仿宋_GB2312"/>
        </w:rPr>
        <w:t xml:space="preserve"> </w:t>
      </w:r>
      <w:r w:rsidRPr="00D515DA">
        <w:rPr>
          <w:rFonts w:eastAsia="仿宋_GB2312"/>
        </w:rPr>
        <w:t>第</w:t>
      </w:r>
      <w:r w:rsidRPr="00D515DA">
        <w:rPr>
          <w:rFonts w:eastAsia="仿宋_GB2312"/>
        </w:rPr>
        <w:t>1</w:t>
      </w:r>
      <w:r w:rsidRPr="00D515DA">
        <w:rPr>
          <w:rFonts w:eastAsia="仿宋_GB2312"/>
        </w:rPr>
        <w:t>部分：通用要求》、第</w:t>
      </w:r>
      <w:r w:rsidRPr="00D515DA">
        <w:rPr>
          <w:rFonts w:eastAsia="仿宋_GB2312"/>
        </w:rPr>
        <w:t>2</w:t>
      </w:r>
      <w:r w:rsidRPr="00D515DA">
        <w:rPr>
          <w:rFonts w:eastAsia="仿宋_GB2312"/>
        </w:rPr>
        <w:t>部分</w:t>
      </w:r>
      <w:r w:rsidRPr="00F34EE5">
        <w:rPr>
          <w:rFonts w:eastAsia="仿宋_GB2312"/>
        </w:rPr>
        <w:t>T/XXXXXXXX</w:t>
      </w:r>
      <w:r w:rsidRPr="00D515DA">
        <w:rPr>
          <w:rFonts w:eastAsia="仿宋_GB2312"/>
        </w:rPr>
        <w:t>—2026</w:t>
      </w:r>
      <w:r w:rsidRPr="00D515DA">
        <w:rPr>
          <w:rFonts w:eastAsia="仿宋_GB2312"/>
        </w:rPr>
        <w:t>《船用燃料供应电子单证技术规范</w:t>
      </w:r>
      <w:r w:rsidRPr="00D515DA">
        <w:rPr>
          <w:rFonts w:eastAsia="仿宋_GB2312"/>
        </w:rPr>
        <w:t xml:space="preserve"> </w:t>
      </w:r>
      <w:r w:rsidRPr="00D515DA">
        <w:rPr>
          <w:rFonts w:eastAsia="仿宋_GB2312"/>
        </w:rPr>
        <w:t>第</w:t>
      </w:r>
      <w:r w:rsidRPr="00D515DA">
        <w:rPr>
          <w:rFonts w:eastAsia="仿宋_GB2312"/>
        </w:rPr>
        <w:t>2</w:t>
      </w:r>
      <w:r w:rsidRPr="00D515DA">
        <w:rPr>
          <w:rFonts w:eastAsia="仿宋_GB2312"/>
        </w:rPr>
        <w:t>部分：信息平台与数据接口要求》</w:t>
      </w:r>
      <w:r>
        <w:rPr>
          <w:rFonts w:eastAsia="仿宋_GB2312" w:hint="eastAsia"/>
        </w:rPr>
        <w:t>。</w:t>
      </w:r>
    </w:p>
    <w:p w14:paraId="634E2D95" w14:textId="77777777" w:rsidR="00B84ABE" w:rsidRDefault="00000000">
      <w:pPr>
        <w:pStyle w:val="aff5"/>
        <w:widowControl w:val="0"/>
        <w:adjustRightInd w:val="0"/>
        <w:snapToGrid w:val="0"/>
        <w:spacing w:line="360" w:lineRule="auto"/>
        <w:ind w:firstLine="643"/>
        <w:rPr>
          <w:rFonts w:ascii="Times New Roman" w:eastAsia="仿宋_GB2312"/>
          <w:b/>
          <w:bCs/>
          <w:sz w:val="32"/>
          <w:szCs w:val="32"/>
        </w:rPr>
      </w:pPr>
      <w:r>
        <w:rPr>
          <w:rFonts w:ascii="Times New Roman" w:eastAsia="仿宋_GB2312"/>
          <w:b/>
          <w:bCs/>
          <w:sz w:val="32"/>
          <w:szCs w:val="32"/>
        </w:rPr>
        <w:t>理由及依据：</w:t>
      </w:r>
    </w:p>
    <w:p w14:paraId="49379654" w14:textId="64283D39" w:rsidR="00B84ABE" w:rsidRDefault="00D515DA">
      <w:pPr>
        <w:pStyle w:val="aff5"/>
        <w:widowControl w:val="0"/>
        <w:adjustRightInd w:val="0"/>
        <w:snapToGrid w:val="0"/>
        <w:spacing w:line="360" w:lineRule="auto"/>
        <w:ind w:firstLine="640"/>
        <w:rPr>
          <w:rFonts w:ascii="Times New Roman" w:eastAsia="仿宋_GB2312"/>
          <w:sz w:val="32"/>
          <w:szCs w:val="32"/>
        </w:rPr>
      </w:pPr>
      <w:r w:rsidRPr="00D515DA">
        <w:rPr>
          <w:rFonts w:ascii="Times New Roman" w:eastAsia="仿宋_GB2312"/>
          <w:sz w:val="32"/>
          <w:szCs w:val="32"/>
        </w:rPr>
        <w:t>引用文件的选择遵循业务必需、版本现行原则。</w:t>
      </w:r>
      <w:r w:rsidRPr="00D515DA">
        <w:rPr>
          <w:rFonts w:ascii="Times New Roman" w:eastAsia="仿宋_GB2312"/>
          <w:sz w:val="32"/>
          <w:szCs w:val="32"/>
        </w:rPr>
        <w:t>GB/T 25346—2020</w:t>
      </w:r>
      <w:r w:rsidRPr="00D515DA">
        <w:rPr>
          <w:rFonts w:ascii="Times New Roman" w:eastAsia="仿宋_GB2312"/>
          <w:sz w:val="32"/>
          <w:szCs w:val="32"/>
        </w:rPr>
        <w:t>直接规定</w:t>
      </w:r>
      <w:proofErr w:type="gramStart"/>
      <w:r w:rsidRPr="00D515DA">
        <w:rPr>
          <w:rFonts w:ascii="Times New Roman" w:eastAsia="仿宋_GB2312"/>
          <w:sz w:val="32"/>
          <w:szCs w:val="32"/>
        </w:rPr>
        <w:t>船舶供受燃油</w:t>
      </w:r>
      <w:proofErr w:type="gramEnd"/>
      <w:r w:rsidRPr="00D515DA">
        <w:rPr>
          <w:rFonts w:ascii="Times New Roman" w:eastAsia="仿宋_GB2312"/>
          <w:sz w:val="32"/>
          <w:szCs w:val="32"/>
        </w:rPr>
        <w:t>作业流程及</w:t>
      </w:r>
      <w:r w:rsidRPr="00D515DA">
        <w:rPr>
          <w:rFonts w:ascii="Times New Roman" w:eastAsia="仿宋_GB2312"/>
          <w:sz w:val="32"/>
          <w:szCs w:val="32"/>
        </w:rPr>
        <w:t>BDN</w:t>
      </w:r>
      <w:r w:rsidRPr="00D515DA">
        <w:rPr>
          <w:rFonts w:ascii="Times New Roman" w:eastAsia="仿宋_GB2312"/>
          <w:sz w:val="32"/>
          <w:szCs w:val="32"/>
        </w:rPr>
        <w:t>模板，是本文件主单内容与业务衔接的直接依据；</w:t>
      </w:r>
      <w:r w:rsidRPr="00D515DA">
        <w:rPr>
          <w:rFonts w:ascii="Times New Roman" w:eastAsia="仿宋_GB2312"/>
          <w:sz w:val="32"/>
          <w:szCs w:val="32"/>
        </w:rPr>
        <w:t>GB/T 45487—2025</w:t>
      </w:r>
      <w:r w:rsidRPr="00D515DA">
        <w:rPr>
          <w:rFonts w:ascii="Times New Roman" w:eastAsia="仿宋_GB2312"/>
          <w:sz w:val="32"/>
          <w:szCs w:val="32"/>
        </w:rPr>
        <w:t>规定燃油消耗数据收集要求，是本文件数据元标准化的依据；</w:t>
      </w:r>
      <w:r w:rsidRPr="00D515DA">
        <w:rPr>
          <w:rFonts w:ascii="Times New Roman" w:eastAsia="仿宋_GB2312"/>
          <w:sz w:val="32"/>
          <w:szCs w:val="32"/>
        </w:rPr>
        <w:t>ISO 8217</w:t>
      </w:r>
      <w:r w:rsidRPr="00D515DA">
        <w:rPr>
          <w:rFonts w:ascii="Times New Roman" w:eastAsia="仿宋_GB2312"/>
          <w:sz w:val="32"/>
          <w:szCs w:val="32"/>
        </w:rPr>
        <w:t>规定船用燃料油质量指标，是质量类辅助单据检测指标的依据。第</w:t>
      </w:r>
      <w:r w:rsidRPr="00D515DA">
        <w:rPr>
          <w:rFonts w:ascii="Times New Roman" w:eastAsia="仿宋_GB2312"/>
          <w:sz w:val="32"/>
          <w:szCs w:val="32"/>
        </w:rPr>
        <w:t>1</w:t>
      </w:r>
      <w:r w:rsidRPr="00D515DA">
        <w:rPr>
          <w:rFonts w:ascii="Times New Roman" w:eastAsia="仿宋_GB2312"/>
          <w:sz w:val="32"/>
          <w:szCs w:val="32"/>
        </w:rPr>
        <w:t>部分、第</w:t>
      </w:r>
      <w:r w:rsidRPr="00D515DA">
        <w:rPr>
          <w:rFonts w:ascii="Times New Roman" w:eastAsia="仿宋_GB2312"/>
          <w:sz w:val="32"/>
          <w:szCs w:val="32"/>
        </w:rPr>
        <w:t>2</w:t>
      </w:r>
      <w:r w:rsidRPr="00D515DA">
        <w:rPr>
          <w:rFonts w:ascii="Times New Roman" w:eastAsia="仿宋_GB2312"/>
          <w:sz w:val="32"/>
          <w:szCs w:val="32"/>
        </w:rPr>
        <w:t>部分分别提供通用技术框架和平台接口要求，与第</w:t>
      </w:r>
      <w:r w:rsidRPr="00D515DA">
        <w:rPr>
          <w:rFonts w:ascii="Times New Roman" w:eastAsia="仿宋_GB2312"/>
          <w:sz w:val="32"/>
          <w:szCs w:val="32"/>
        </w:rPr>
        <w:t>3</w:t>
      </w:r>
      <w:r w:rsidRPr="00D515DA">
        <w:rPr>
          <w:rFonts w:ascii="Times New Roman" w:eastAsia="仿宋_GB2312"/>
          <w:sz w:val="32"/>
          <w:szCs w:val="32"/>
        </w:rPr>
        <w:t>部分共同构成系列标准。</w:t>
      </w:r>
      <w:proofErr w:type="gramStart"/>
      <w:r w:rsidRPr="00D515DA">
        <w:rPr>
          <w:rFonts w:ascii="Times New Roman" w:eastAsia="仿宋_GB2312"/>
          <w:sz w:val="32"/>
          <w:szCs w:val="32"/>
        </w:rPr>
        <w:t>对注日期</w:t>
      </w:r>
      <w:proofErr w:type="gramEnd"/>
      <w:r w:rsidRPr="00D515DA">
        <w:rPr>
          <w:rFonts w:ascii="Times New Roman" w:eastAsia="仿宋_GB2312"/>
          <w:sz w:val="32"/>
          <w:szCs w:val="32"/>
        </w:rPr>
        <w:t>与不注日期引用文件的处理，严格遵循</w:t>
      </w:r>
      <w:r w:rsidRPr="00D515DA">
        <w:rPr>
          <w:rFonts w:ascii="Times New Roman" w:eastAsia="仿宋_GB2312"/>
          <w:sz w:val="32"/>
          <w:szCs w:val="32"/>
        </w:rPr>
        <w:t>GB/T 1.1—2020</w:t>
      </w:r>
      <w:r w:rsidRPr="00D515DA">
        <w:rPr>
          <w:rFonts w:ascii="Times New Roman" w:eastAsia="仿宋_GB2312"/>
          <w:sz w:val="32"/>
          <w:szCs w:val="32"/>
        </w:rPr>
        <w:t>的规定</w:t>
      </w:r>
      <w:r>
        <w:rPr>
          <w:rFonts w:ascii="Times New Roman" w:eastAsia="仿宋_GB2312"/>
          <w:sz w:val="32"/>
          <w:szCs w:val="32"/>
        </w:rPr>
        <w:t>。</w:t>
      </w:r>
    </w:p>
    <w:p w14:paraId="748EEF40" w14:textId="77777777" w:rsidR="00B84ABE"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bookmarkStart w:id="33" w:name="_Toc215734344"/>
      <w:bookmarkStart w:id="34" w:name="_Toc477247004"/>
      <w:bookmarkStart w:id="35" w:name="_Toc466470280"/>
      <w:bookmarkStart w:id="36" w:name="_Toc23743"/>
      <w:bookmarkStart w:id="37" w:name="_Toc12529"/>
      <w:bookmarkStart w:id="38" w:name="_Toc7892"/>
      <w:bookmarkStart w:id="39" w:name="_Toc215709411"/>
      <w:bookmarkStart w:id="40" w:name="_Toc466470259"/>
      <w:bookmarkStart w:id="41" w:name="_Toc469992091"/>
      <w:r>
        <w:rPr>
          <w:rFonts w:ascii="Times New Roman" w:eastAsia="仿宋_GB2312" w:cs="黑体" w:hint="eastAsia"/>
          <w:sz w:val="32"/>
          <w:szCs w:val="32"/>
        </w:rPr>
        <w:t>3</w:t>
      </w:r>
      <w:r>
        <w:rPr>
          <w:rFonts w:ascii="Times New Roman" w:eastAsia="仿宋_GB2312" w:cs="黑体" w:hint="eastAsia"/>
          <w:sz w:val="32"/>
          <w:szCs w:val="32"/>
        </w:rPr>
        <w:t>、术语和定义</w:t>
      </w:r>
      <w:bookmarkEnd w:id="33"/>
      <w:bookmarkEnd w:id="34"/>
      <w:bookmarkEnd w:id="35"/>
      <w:bookmarkEnd w:id="36"/>
      <w:bookmarkEnd w:id="37"/>
      <w:bookmarkEnd w:id="38"/>
      <w:bookmarkEnd w:id="39"/>
      <w:bookmarkEnd w:id="40"/>
      <w:bookmarkEnd w:id="41"/>
    </w:p>
    <w:p w14:paraId="2A7D692E" w14:textId="53E6625B" w:rsidR="00B84ABE" w:rsidRDefault="00D515DA">
      <w:pPr>
        <w:adjustRightInd w:val="0"/>
        <w:snapToGrid w:val="0"/>
        <w:rPr>
          <w:rFonts w:eastAsia="仿宋_GB2312"/>
        </w:rPr>
      </w:pPr>
      <w:bookmarkStart w:id="42" w:name="_Toc21194"/>
      <w:bookmarkStart w:id="43" w:name="_Toc4867"/>
      <w:bookmarkStart w:id="44" w:name="_Toc22796"/>
      <w:bookmarkStart w:id="45" w:name="_Toc4232"/>
      <w:bookmarkStart w:id="46" w:name="_Toc28157"/>
      <w:bookmarkStart w:id="47" w:name="_Toc30383"/>
      <w:r w:rsidRPr="00D515DA">
        <w:rPr>
          <w:rFonts w:eastAsia="仿宋_GB2312"/>
        </w:rPr>
        <w:t>本文件在第</w:t>
      </w:r>
      <w:r w:rsidRPr="00D515DA">
        <w:rPr>
          <w:rFonts w:eastAsia="仿宋_GB2312"/>
        </w:rPr>
        <w:t>1</w:t>
      </w:r>
      <w:r w:rsidRPr="00D515DA">
        <w:rPr>
          <w:rFonts w:eastAsia="仿宋_GB2312"/>
        </w:rPr>
        <w:t>部分界定的术语和定义基础上，补充了</w:t>
      </w:r>
      <w:r w:rsidRPr="00D515DA">
        <w:rPr>
          <w:rFonts w:eastAsia="仿宋_GB2312"/>
        </w:rPr>
        <w:t>“</w:t>
      </w:r>
      <w:r w:rsidRPr="00D515DA">
        <w:rPr>
          <w:rFonts w:eastAsia="仿宋_GB2312"/>
        </w:rPr>
        <w:t>成套单证</w:t>
      </w:r>
      <w:r w:rsidRPr="00D515DA">
        <w:rPr>
          <w:rFonts w:eastAsia="仿宋_GB2312"/>
        </w:rPr>
        <w:t>”</w:t>
      </w:r>
      <w:r w:rsidRPr="00D515DA">
        <w:rPr>
          <w:rFonts w:eastAsia="仿宋_GB2312"/>
        </w:rPr>
        <w:t>术语，将其定义为由一份主单与多份辅助单据组成的、完整覆盖船用燃料加注业务全流程的单证组合，并明确主单与辅助单据通过唯一标识建立关联，形成完整的业务凭证体系</w:t>
      </w:r>
      <w:r>
        <w:rPr>
          <w:rFonts w:eastAsia="仿宋_GB2312" w:hint="eastAsia"/>
        </w:rPr>
        <w:t>。</w:t>
      </w:r>
    </w:p>
    <w:p w14:paraId="2838D82A" w14:textId="77777777" w:rsidR="00B84ABE" w:rsidRDefault="00000000">
      <w:pPr>
        <w:adjustRightInd w:val="0"/>
        <w:snapToGrid w:val="0"/>
        <w:ind w:firstLine="643"/>
        <w:rPr>
          <w:rFonts w:eastAsia="仿宋_GB2312"/>
          <w:b/>
          <w:bCs/>
        </w:rPr>
      </w:pPr>
      <w:r>
        <w:rPr>
          <w:rFonts w:eastAsia="仿宋_GB2312" w:hint="eastAsia"/>
          <w:b/>
          <w:bCs/>
        </w:rPr>
        <w:t>理由及依据：</w:t>
      </w:r>
    </w:p>
    <w:p w14:paraId="27C97D8E" w14:textId="2763B014" w:rsidR="00B84ABE" w:rsidRDefault="00D515DA">
      <w:pPr>
        <w:autoSpaceDE w:val="0"/>
        <w:autoSpaceDN w:val="0"/>
        <w:spacing w:line="240" w:lineRule="auto"/>
        <w:rPr>
          <w:rFonts w:eastAsia="仿宋_GB2312"/>
        </w:rPr>
      </w:pPr>
      <w:r w:rsidRPr="00D515DA">
        <w:rPr>
          <w:rFonts w:eastAsia="仿宋_GB2312"/>
        </w:rPr>
        <w:lastRenderedPageBreak/>
        <w:t>术语界定旨在统一行业对主单与辅助单据组合关系的理解、消除歧义。</w:t>
      </w:r>
      <w:r w:rsidRPr="00D515DA">
        <w:rPr>
          <w:rFonts w:eastAsia="仿宋_GB2312"/>
        </w:rPr>
        <w:t>“</w:t>
      </w:r>
      <w:r w:rsidRPr="00D515DA">
        <w:rPr>
          <w:rFonts w:eastAsia="仿宋_GB2312"/>
        </w:rPr>
        <w:t>成套单证</w:t>
      </w:r>
      <w:r w:rsidRPr="00D515DA">
        <w:rPr>
          <w:rFonts w:eastAsia="仿宋_GB2312"/>
        </w:rPr>
        <w:t>”</w:t>
      </w:r>
      <w:r w:rsidRPr="00D515DA">
        <w:rPr>
          <w:rFonts w:eastAsia="仿宋_GB2312"/>
        </w:rPr>
        <w:t>突出主单与辅助单据的成套性、关联性和全流程覆盖特征，是第</w:t>
      </w:r>
      <w:r w:rsidRPr="00D515DA">
        <w:rPr>
          <w:rFonts w:eastAsia="仿宋_GB2312"/>
        </w:rPr>
        <w:t>7</w:t>
      </w:r>
      <w:r w:rsidRPr="00D515DA">
        <w:rPr>
          <w:rFonts w:eastAsia="仿宋_GB2312"/>
        </w:rPr>
        <w:t>章关联与成套性要求、第</w:t>
      </w:r>
      <w:r w:rsidRPr="00D515DA">
        <w:rPr>
          <w:rFonts w:eastAsia="仿宋_GB2312"/>
        </w:rPr>
        <w:t>8</w:t>
      </w:r>
      <w:r w:rsidRPr="00D515DA">
        <w:rPr>
          <w:rFonts w:eastAsia="仿宋_GB2312"/>
        </w:rPr>
        <w:t>章归档与管理要求的逻辑起点。该术语与第</w:t>
      </w:r>
      <w:r w:rsidRPr="00D515DA">
        <w:rPr>
          <w:rFonts w:eastAsia="仿宋_GB2312"/>
        </w:rPr>
        <w:t>1</w:t>
      </w:r>
      <w:r w:rsidRPr="00D515DA">
        <w:rPr>
          <w:rFonts w:eastAsia="仿宋_GB2312"/>
        </w:rPr>
        <w:t>部分中主单、辅助单据定义相衔接，体现电子单证体系化、可追溯的升级要求</w:t>
      </w:r>
      <w:r>
        <w:rPr>
          <w:rFonts w:eastAsia="仿宋_GB2312"/>
        </w:rPr>
        <w:t>。</w:t>
      </w:r>
    </w:p>
    <w:p w14:paraId="77E27032" w14:textId="3349BA50" w:rsidR="00B84ABE"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4</w:t>
      </w:r>
      <w:r>
        <w:rPr>
          <w:rFonts w:ascii="Times New Roman" w:eastAsia="仿宋_GB2312" w:cs="黑体" w:hint="eastAsia"/>
          <w:sz w:val="32"/>
          <w:szCs w:val="32"/>
        </w:rPr>
        <w:t>、</w:t>
      </w:r>
      <w:r w:rsidR="00D515DA" w:rsidRPr="00D515DA">
        <w:rPr>
          <w:rFonts w:ascii="Times New Roman" w:eastAsia="仿宋_GB2312" w:cs="黑体"/>
          <w:sz w:val="32"/>
          <w:szCs w:val="32"/>
        </w:rPr>
        <w:t>总体要求</w:t>
      </w:r>
    </w:p>
    <w:p w14:paraId="44F73689" w14:textId="481546BD" w:rsidR="00B84ABE" w:rsidRDefault="00D515DA">
      <w:pPr>
        <w:adjustRightInd w:val="0"/>
        <w:snapToGrid w:val="0"/>
        <w:rPr>
          <w:rFonts w:eastAsia="仿宋_GB2312"/>
        </w:rPr>
      </w:pPr>
      <w:r w:rsidRPr="00D515DA">
        <w:rPr>
          <w:rFonts w:eastAsia="仿宋_GB2312"/>
        </w:rPr>
        <w:t>本文件确立了单证体系构成、合</w:t>
      </w:r>
      <w:proofErr w:type="gramStart"/>
      <w:r w:rsidRPr="00D515DA">
        <w:rPr>
          <w:rFonts w:eastAsia="仿宋_GB2312"/>
        </w:rPr>
        <w:t>规</w:t>
      </w:r>
      <w:proofErr w:type="gramEnd"/>
      <w:r w:rsidRPr="00D515DA">
        <w:rPr>
          <w:rFonts w:eastAsia="仿宋_GB2312"/>
        </w:rPr>
        <w:t>性、标准化、关联性、一致性等总体要求，明确船用燃料供应电子单证体系采用成套单证形式，主单证为船用燃料加注交付单（</w:t>
      </w:r>
      <w:r w:rsidRPr="00D515DA">
        <w:rPr>
          <w:rFonts w:eastAsia="仿宋_GB2312"/>
        </w:rPr>
        <w:t>BDN</w:t>
      </w:r>
      <w:r w:rsidRPr="00D515DA">
        <w:rPr>
          <w:rFonts w:eastAsia="仿宋_GB2312"/>
        </w:rPr>
        <w:t>），辅助单据依据业务场景、交付方式及监管要求分类配套，形成完整可追溯的单证证据链</w:t>
      </w:r>
      <w:r>
        <w:rPr>
          <w:rFonts w:eastAsia="仿宋_GB2312" w:hint="eastAsia"/>
        </w:rPr>
        <w:t>。</w:t>
      </w:r>
    </w:p>
    <w:p w14:paraId="5AF3EFB9" w14:textId="77777777" w:rsidR="00B84ABE" w:rsidRDefault="00000000">
      <w:pPr>
        <w:adjustRightInd w:val="0"/>
        <w:snapToGrid w:val="0"/>
        <w:ind w:firstLine="643"/>
        <w:rPr>
          <w:rFonts w:eastAsia="仿宋_GB2312"/>
          <w:b/>
          <w:bCs/>
        </w:rPr>
      </w:pPr>
      <w:r>
        <w:rPr>
          <w:rFonts w:eastAsia="仿宋_GB2312" w:hint="eastAsia"/>
          <w:b/>
          <w:bCs/>
        </w:rPr>
        <w:t>理由及依据：</w:t>
      </w:r>
    </w:p>
    <w:p w14:paraId="5B4070C2" w14:textId="3EFF6F07" w:rsidR="00B84ABE" w:rsidRDefault="00D515DA">
      <w:pPr>
        <w:adjustRightInd w:val="0"/>
        <w:snapToGrid w:val="0"/>
        <w:rPr>
          <w:rFonts w:eastAsia="仿宋_GB2312"/>
        </w:rPr>
      </w:pPr>
      <w:r w:rsidRPr="00D515DA">
        <w:rPr>
          <w:rFonts w:eastAsia="仿宋_GB2312"/>
        </w:rPr>
        <w:t>总体要求以成套单证为体系框架，直接</w:t>
      </w:r>
      <w:proofErr w:type="gramStart"/>
      <w:r w:rsidRPr="00D515DA">
        <w:rPr>
          <w:rFonts w:eastAsia="仿宋_GB2312"/>
        </w:rPr>
        <w:t>回应主</w:t>
      </w:r>
      <w:proofErr w:type="gramEnd"/>
      <w:r w:rsidRPr="00D515DA">
        <w:rPr>
          <w:rFonts w:eastAsia="仿宋_GB2312"/>
        </w:rPr>
        <w:t>单与辅助单据分散、关联不清、数据冲突等痛点。合</w:t>
      </w:r>
      <w:proofErr w:type="gramStart"/>
      <w:r w:rsidRPr="00D515DA">
        <w:rPr>
          <w:rFonts w:eastAsia="仿宋_GB2312"/>
        </w:rPr>
        <w:t>规</w:t>
      </w:r>
      <w:proofErr w:type="gramEnd"/>
      <w:r w:rsidRPr="00D515DA">
        <w:rPr>
          <w:rFonts w:eastAsia="仿宋_GB2312"/>
        </w:rPr>
        <w:t>性要求对接</w:t>
      </w:r>
      <w:r w:rsidRPr="00D515DA">
        <w:rPr>
          <w:rFonts w:eastAsia="仿宋_GB2312"/>
        </w:rPr>
        <w:t>IMO</w:t>
      </w:r>
      <w:r w:rsidRPr="00D515DA">
        <w:rPr>
          <w:rFonts w:eastAsia="仿宋_GB2312"/>
        </w:rPr>
        <w:t>、海关、海事等监管要求，并与</w:t>
      </w:r>
      <w:r w:rsidRPr="00D515DA">
        <w:rPr>
          <w:rFonts w:eastAsia="仿宋_GB2312"/>
        </w:rPr>
        <w:t>GB/T 25346—2020</w:t>
      </w:r>
      <w:r w:rsidRPr="00D515DA">
        <w:rPr>
          <w:rFonts w:eastAsia="仿宋_GB2312"/>
        </w:rPr>
        <w:t>、</w:t>
      </w:r>
      <w:r w:rsidRPr="00D515DA">
        <w:rPr>
          <w:rFonts w:eastAsia="仿宋_GB2312"/>
        </w:rPr>
        <w:t>ISO 8217</w:t>
      </w:r>
      <w:r w:rsidRPr="00D515DA">
        <w:rPr>
          <w:rFonts w:eastAsia="仿宋_GB2312"/>
        </w:rPr>
        <w:t>等标准衔接；标准化要求统一模板、数据元及字段定义，所有数据</w:t>
      </w:r>
      <w:proofErr w:type="gramStart"/>
      <w:r w:rsidRPr="00D515DA">
        <w:rPr>
          <w:rFonts w:eastAsia="仿宋_GB2312"/>
        </w:rPr>
        <w:t>元符合</w:t>
      </w:r>
      <w:proofErr w:type="gramEnd"/>
      <w:r w:rsidRPr="00D515DA">
        <w:rPr>
          <w:rFonts w:eastAsia="仿宋_GB2312"/>
        </w:rPr>
        <w:t>GB/T 45487—2025</w:t>
      </w:r>
      <w:r w:rsidRPr="00D515DA">
        <w:rPr>
          <w:rFonts w:eastAsia="仿宋_GB2312"/>
        </w:rPr>
        <w:t>；关联性要求通过主单编号建立唯一绑定，保证辅助单据业务背景可追溯；一致性要求对主体、船舶、产品、交付、数量及金额等同</w:t>
      </w:r>
      <w:proofErr w:type="gramStart"/>
      <w:r w:rsidRPr="00D515DA">
        <w:rPr>
          <w:rFonts w:eastAsia="仿宋_GB2312"/>
        </w:rPr>
        <w:t>一</w:t>
      </w:r>
      <w:proofErr w:type="gramEnd"/>
      <w:r w:rsidRPr="00D515DA">
        <w:rPr>
          <w:rFonts w:eastAsia="仿宋_GB2312"/>
        </w:rPr>
        <w:t>业务数据保持一致，不应出现数据冲突。各项要求相互支撑，构成电子辅助单据可信管理的基础</w:t>
      </w:r>
      <w:r>
        <w:rPr>
          <w:rFonts w:eastAsia="仿宋_GB2312" w:hint="eastAsia"/>
        </w:rPr>
        <w:t>。</w:t>
      </w:r>
    </w:p>
    <w:p w14:paraId="5232B989" w14:textId="588E7BA6" w:rsidR="00B84ABE"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lastRenderedPageBreak/>
        <w:t>5</w:t>
      </w:r>
      <w:r>
        <w:rPr>
          <w:rFonts w:ascii="Times New Roman" w:eastAsia="仿宋_GB2312" w:cs="黑体" w:hint="eastAsia"/>
          <w:sz w:val="32"/>
          <w:szCs w:val="32"/>
        </w:rPr>
        <w:t>、</w:t>
      </w:r>
      <w:r w:rsidR="00D515DA" w:rsidRPr="00D515DA">
        <w:rPr>
          <w:rFonts w:ascii="Times New Roman" w:eastAsia="仿宋_GB2312" w:cs="黑体"/>
          <w:sz w:val="32"/>
          <w:szCs w:val="32"/>
        </w:rPr>
        <w:t>电子主单（</w:t>
      </w:r>
      <w:r w:rsidR="00D515DA" w:rsidRPr="00D515DA">
        <w:rPr>
          <w:rFonts w:ascii="Times New Roman" w:eastAsia="仿宋_GB2312" w:cs="黑体"/>
          <w:sz w:val="32"/>
          <w:szCs w:val="32"/>
        </w:rPr>
        <w:t>BDN</w:t>
      </w:r>
      <w:r w:rsidR="00D515DA" w:rsidRPr="00D515DA">
        <w:rPr>
          <w:rFonts w:ascii="Times New Roman" w:eastAsia="仿宋_GB2312" w:cs="黑体"/>
          <w:sz w:val="32"/>
          <w:szCs w:val="32"/>
        </w:rPr>
        <w:t>）内容规范</w:t>
      </w:r>
    </w:p>
    <w:p w14:paraId="7F04AEA8" w14:textId="5F184304" w:rsidR="00B84ABE" w:rsidRDefault="00D515DA">
      <w:pPr>
        <w:adjustRightInd w:val="0"/>
        <w:snapToGrid w:val="0"/>
        <w:rPr>
          <w:rFonts w:eastAsia="仿宋_GB2312"/>
        </w:rPr>
      </w:pPr>
      <w:r w:rsidRPr="00D515DA">
        <w:rPr>
          <w:rFonts w:eastAsia="仿宋_GB2312"/>
        </w:rPr>
        <w:t>本文件规定了船用燃料加注交付单（</w:t>
      </w:r>
      <w:r w:rsidRPr="00D515DA">
        <w:rPr>
          <w:rFonts w:eastAsia="仿宋_GB2312"/>
        </w:rPr>
        <w:t>BDN</w:t>
      </w:r>
      <w:r w:rsidRPr="00D515DA">
        <w:rPr>
          <w:rFonts w:eastAsia="仿宋_GB2312"/>
        </w:rPr>
        <w:t>）作为加注业务核心法定凭证的内容模块与强制规则，包括基础标识、业务主体、交付作业、燃油产品、计量明细、签署与声明等模块，并要求主</w:t>
      </w:r>
      <w:proofErr w:type="gramStart"/>
      <w:r w:rsidRPr="00D515DA">
        <w:rPr>
          <w:rFonts w:eastAsia="仿宋_GB2312"/>
        </w:rPr>
        <w:t>单同时</w:t>
      </w:r>
      <w:proofErr w:type="gramEnd"/>
      <w:r w:rsidRPr="00D515DA">
        <w:rPr>
          <w:rFonts w:eastAsia="仿宋_GB2312"/>
        </w:rPr>
        <w:t>具备人可读</w:t>
      </w:r>
      <w:r w:rsidRPr="00D515DA">
        <w:rPr>
          <w:rFonts w:eastAsia="仿宋_GB2312"/>
        </w:rPr>
        <w:t>PDF</w:t>
      </w:r>
      <w:r w:rsidRPr="00D515DA">
        <w:rPr>
          <w:rFonts w:eastAsia="仿宋_GB2312"/>
        </w:rPr>
        <w:t>格式与机器可解释</w:t>
      </w:r>
      <w:r w:rsidRPr="00D515DA">
        <w:rPr>
          <w:rFonts w:eastAsia="仿宋_GB2312"/>
        </w:rPr>
        <w:t>JSON</w:t>
      </w:r>
      <w:r w:rsidRPr="00D515DA">
        <w:rPr>
          <w:rFonts w:eastAsia="仿宋_GB2312"/>
        </w:rPr>
        <w:t>格式，登记</w:t>
      </w:r>
      <w:proofErr w:type="gramStart"/>
      <w:r w:rsidRPr="00D515DA">
        <w:rPr>
          <w:rFonts w:eastAsia="仿宋_GB2312"/>
        </w:rPr>
        <w:t>后核心</w:t>
      </w:r>
      <w:proofErr w:type="gramEnd"/>
      <w:r w:rsidRPr="00D515DA">
        <w:rPr>
          <w:rFonts w:eastAsia="仿宋_GB2312"/>
        </w:rPr>
        <w:t>数据修改应作废重签，留存期限不少于</w:t>
      </w:r>
      <w:r w:rsidRPr="00D515DA">
        <w:rPr>
          <w:rFonts w:eastAsia="仿宋_GB2312"/>
        </w:rPr>
        <w:t>10</w:t>
      </w:r>
      <w:r w:rsidRPr="00D515DA">
        <w:rPr>
          <w:rFonts w:eastAsia="仿宋_GB2312"/>
        </w:rPr>
        <w:t>年</w:t>
      </w:r>
      <w:r>
        <w:rPr>
          <w:rFonts w:eastAsia="仿宋_GB2312" w:hint="eastAsia"/>
        </w:rPr>
        <w:t>。</w:t>
      </w:r>
    </w:p>
    <w:p w14:paraId="71AD66D4" w14:textId="77777777" w:rsidR="00B84ABE" w:rsidRDefault="00000000">
      <w:pPr>
        <w:adjustRightInd w:val="0"/>
        <w:snapToGrid w:val="0"/>
        <w:ind w:firstLine="643"/>
        <w:rPr>
          <w:rFonts w:eastAsia="仿宋_GB2312"/>
          <w:b/>
          <w:bCs/>
        </w:rPr>
      </w:pPr>
      <w:r>
        <w:rPr>
          <w:rFonts w:eastAsia="仿宋_GB2312" w:hint="eastAsia"/>
          <w:b/>
          <w:bCs/>
        </w:rPr>
        <w:t>理由及依据：</w:t>
      </w:r>
    </w:p>
    <w:p w14:paraId="244EC057" w14:textId="186443F4" w:rsidR="00B84ABE" w:rsidRDefault="00D515DA">
      <w:pPr>
        <w:adjustRightInd w:val="0"/>
        <w:snapToGrid w:val="0"/>
        <w:rPr>
          <w:rFonts w:eastAsia="仿宋_GB2312"/>
        </w:rPr>
      </w:pPr>
      <w:r w:rsidRPr="00D515DA">
        <w:rPr>
          <w:rFonts w:eastAsia="仿宋_GB2312"/>
        </w:rPr>
        <w:t>BDN</w:t>
      </w:r>
      <w:r w:rsidRPr="00D515DA">
        <w:rPr>
          <w:rFonts w:eastAsia="仿宋_GB2312"/>
        </w:rPr>
        <w:t>是贸易结算、海关申报、海事监管、税务核算、争议处置的核心依据，模块设置覆盖法定信息、主体信息、作业信息、产品信息、计量信息和签署声明，确保完整、准确、真实记录燃油交付信息。双格</w:t>
      </w:r>
      <w:proofErr w:type="gramStart"/>
      <w:r w:rsidRPr="00D515DA">
        <w:rPr>
          <w:rFonts w:eastAsia="仿宋_GB2312"/>
        </w:rPr>
        <w:t>式要求</w:t>
      </w:r>
      <w:proofErr w:type="gramEnd"/>
      <w:r w:rsidRPr="00D515DA">
        <w:rPr>
          <w:rFonts w:eastAsia="仿宋_GB2312"/>
        </w:rPr>
        <w:t>兼顾行业传统阅读习惯与系统直接解析处理，核心业务数据保持一致；可核验声明、二</w:t>
      </w:r>
      <w:proofErr w:type="gramStart"/>
      <w:r w:rsidRPr="00D515DA">
        <w:rPr>
          <w:rFonts w:eastAsia="仿宋_GB2312"/>
        </w:rPr>
        <w:t>维码及</w:t>
      </w:r>
      <w:proofErr w:type="gramEnd"/>
      <w:r w:rsidRPr="00D515DA">
        <w:rPr>
          <w:rFonts w:eastAsia="仿宋_GB2312"/>
        </w:rPr>
        <w:t>核验链接提升单证可验证性；强制规则明确无有效主单不应完成贸易结算与海关申报，签署人应具备合法授权，已登记主单不应直接修改，并与辅助单据成套归档。上述规定与第</w:t>
      </w:r>
      <w:r w:rsidR="00F553DE">
        <w:rPr>
          <w:rFonts w:eastAsia="仿宋_GB2312" w:hint="eastAsia"/>
        </w:rPr>
        <w:t>2</w:t>
      </w:r>
      <w:r w:rsidRPr="00D515DA">
        <w:rPr>
          <w:rFonts w:eastAsia="仿宋_GB2312"/>
        </w:rPr>
        <w:t>部分第</w:t>
      </w:r>
      <w:r w:rsidRPr="00D515DA">
        <w:rPr>
          <w:rFonts w:eastAsia="仿宋_GB2312"/>
        </w:rPr>
        <w:t>7</w:t>
      </w:r>
      <w:r w:rsidRPr="00D515DA">
        <w:rPr>
          <w:rFonts w:eastAsia="仿宋_GB2312"/>
        </w:rPr>
        <w:t>章字段定义、</w:t>
      </w:r>
      <w:r w:rsidRPr="00D515DA">
        <w:rPr>
          <w:rFonts w:eastAsia="仿宋_GB2312"/>
        </w:rPr>
        <w:t>GB/T 25346—2020</w:t>
      </w:r>
      <w:r w:rsidRPr="00D515DA">
        <w:rPr>
          <w:rFonts w:eastAsia="仿宋_GB2312"/>
        </w:rPr>
        <w:t>附录</w:t>
      </w:r>
      <w:r w:rsidRPr="00D515DA">
        <w:rPr>
          <w:rFonts w:eastAsia="仿宋_GB2312"/>
        </w:rPr>
        <w:t>F</w:t>
      </w:r>
      <w:r w:rsidRPr="00D515DA">
        <w:rPr>
          <w:rFonts w:eastAsia="仿宋_GB2312"/>
        </w:rPr>
        <w:t>模板相衔接</w:t>
      </w:r>
      <w:r>
        <w:rPr>
          <w:rFonts w:eastAsia="仿宋_GB2312" w:hint="eastAsia"/>
        </w:rPr>
        <w:t>。</w:t>
      </w:r>
    </w:p>
    <w:p w14:paraId="7C357DAD" w14:textId="129643BF" w:rsidR="00B84ABE"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6</w:t>
      </w:r>
      <w:r>
        <w:rPr>
          <w:rFonts w:ascii="Times New Roman" w:eastAsia="仿宋_GB2312" w:cs="黑体" w:hint="eastAsia"/>
          <w:sz w:val="32"/>
          <w:szCs w:val="32"/>
        </w:rPr>
        <w:t>、</w:t>
      </w:r>
      <w:r w:rsidR="00D515DA" w:rsidRPr="00D515DA">
        <w:rPr>
          <w:rFonts w:ascii="Times New Roman" w:eastAsia="仿宋_GB2312" w:cs="黑体"/>
          <w:sz w:val="32"/>
          <w:szCs w:val="32"/>
        </w:rPr>
        <w:t>电子辅助单据分类与规范</w:t>
      </w:r>
    </w:p>
    <w:p w14:paraId="2B235F45" w14:textId="07958A11" w:rsidR="00B84ABE" w:rsidRDefault="00D515DA">
      <w:pPr>
        <w:adjustRightInd w:val="0"/>
        <w:snapToGrid w:val="0"/>
        <w:rPr>
          <w:rFonts w:eastAsia="仿宋_GB2312"/>
        </w:rPr>
      </w:pPr>
      <w:r w:rsidRPr="00D515DA">
        <w:rPr>
          <w:rFonts w:eastAsia="仿宋_GB2312"/>
        </w:rPr>
        <w:t>本文件将辅助单据按业务功能分为计量类、质量类、交易与安全类、异议与声明类及海关单证五类，列出加注</w:t>
      </w:r>
      <w:r w:rsidRPr="00D515DA">
        <w:rPr>
          <w:rFonts w:eastAsia="仿宋_GB2312"/>
        </w:rPr>
        <w:lastRenderedPageBreak/>
        <w:t>计量单、仪表读数记录表、质量流量计系统密封检查表、流量计总表日志、数量证书、质量证书、质量检测报告、燃料加注申请单、安全检查确认表、销售确认单、销售发票、事实陈述、抗议书及海关单证等至少</w:t>
      </w:r>
      <w:r w:rsidRPr="00D515DA">
        <w:rPr>
          <w:rFonts w:eastAsia="仿宋_GB2312"/>
        </w:rPr>
        <w:t>21</w:t>
      </w:r>
      <w:r w:rsidRPr="00D515DA">
        <w:rPr>
          <w:rFonts w:eastAsia="仿宋_GB2312"/>
        </w:rPr>
        <w:t>种单据，并以表</w:t>
      </w:r>
      <w:r w:rsidRPr="00D515DA">
        <w:rPr>
          <w:rFonts w:eastAsia="仿宋_GB2312"/>
        </w:rPr>
        <w:t>1</w:t>
      </w:r>
      <w:r w:rsidRPr="00D515DA">
        <w:rPr>
          <w:rFonts w:eastAsia="仿宋_GB2312"/>
        </w:rPr>
        <w:t>明确各类单据适用场景及与主单的关联关系，附录</w:t>
      </w:r>
      <w:r w:rsidRPr="00D515DA">
        <w:rPr>
          <w:rFonts w:eastAsia="仿宋_GB2312"/>
        </w:rPr>
        <w:t>A</w:t>
      </w:r>
      <w:r w:rsidRPr="00D515DA">
        <w:rPr>
          <w:rFonts w:eastAsia="仿宋_GB2312"/>
        </w:rPr>
        <w:t>至附录</w:t>
      </w:r>
      <w:r w:rsidRPr="00D515DA">
        <w:rPr>
          <w:rFonts w:eastAsia="仿宋_GB2312"/>
        </w:rPr>
        <w:t>T</w:t>
      </w:r>
      <w:r w:rsidRPr="00D515DA">
        <w:rPr>
          <w:rFonts w:eastAsia="仿宋_GB2312"/>
        </w:rPr>
        <w:t>给出资料性样式</w:t>
      </w:r>
      <w:r>
        <w:rPr>
          <w:rFonts w:eastAsia="仿宋_GB2312" w:hint="eastAsia"/>
        </w:rPr>
        <w:t>。</w:t>
      </w:r>
    </w:p>
    <w:p w14:paraId="070A92A4" w14:textId="77777777" w:rsidR="00B84ABE" w:rsidRDefault="00000000">
      <w:pPr>
        <w:adjustRightInd w:val="0"/>
        <w:snapToGrid w:val="0"/>
        <w:ind w:firstLine="643"/>
        <w:rPr>
          <w:rFonts w:eastAsia="仿宋_GB2312"/>
          <w:b/>
          <w:bCs/>
        </w:rPr>
      </w:pPr>
      <w:r>
        <w:rPr>
          <w:rFonts w:eastAsia="仿宋_GB2312" w:hint="eastAsia"/>
          <w:b/>
          <w:bCs/>
        </w:rPr>
        <w:t>理由及依据：</w:t>
      </w:r>
    </w:p>
    <w:p w14:paraId="3BA85660" w14:textId="5DEDAFED" w:rsidR="00B84ABE" w:rsidRDefault="00D515DA">
      <w:pPr>
        <w:adjustRightInd w:val="0"/>
        <w:snapToGrid w:val="0"/>
        <w:rPr>
          <w:rFonts w:eastAsia="仿宋_GB2312"/>
        </w:rPr>
      </w:pPr>
      <w:r w:rsidRPr="00D515DA">
        <w:rPr>
          <w:rFonts w:eastAsia="仿宋_GB2312"/>
        </w:rPr>
        <w:t>分类设计以业务功能为维度，覆盖计量、质量、交易安全、异议声明和海关</w:t>
      </w:r>
      <w:proofErr w:type="gramStart"/>
      <w:r w:rsidRPr="00D515DA">
        <w:rPr>
          <w:rFonts w:eastAsia="仿宋_GB2312"/>
        </w:rPr>
        <w:t>监管全</w:t>
      </w:r>
      <w:proofErr w:type="gramEnd"/>
      <w:r w:rsidRPr="00D515DA">
        <w:rPr>
          <w:rFonts w:eastAsia="仿宋_GB2312"/>
        </w:rPr>
        <w:t>链条。强制关联单据为对应业务场景下应出具的必备单据，按场景关联单据根据实际业务情况出具，既保证合</w:t>
      </w:r>
      <w:proofErr w:type="gramStart"/>
      <w:r w:rsidRPr="00D515DA">
        <w:rPr>
          <w:rFonts w:eastAsia="仿宋_GB2312"/>
        </w:rPr>
        <w:t>规</w:t>
      </w:r>
      <w:proofErr w:type="gramEnd"/>
      <w:r w:rsidRPr="00D515DA">
        <w:rPr>
          <w:rFonts w:eastAsia="仿宋_GB2312"/>
        </w:rPr>
        <w:t>底线，又兼顾业务灵活性。通用规范要求辅助单据符合第</w:t>
      </w:r>
      <w:r w:rsidRPr="00D515DA">
        <w:rPr>
          <w:rFonts w:eastAsia="仿宋_GB2312"/>
        </w:rPr>
        <w:t>1</w:t>
      </w:r>
      <w:r w:rsidRPr="00D515DA">
        <w:rPr>
          <w:rFonts w:eastAsia="仿宋_GB2312"/>
        </w:rPr>
        <w:t>部分三元属性，包含基础标识、业务核心内容及签署确认三大模块，标注主单编号，字段定义符合第</w:t>
      </w:r>
      <w:r w:rsidRPr="00D515DA">
        <w:rPr>
          <w:rFonts w:eastAsia="仿宋_GB2312"/>
        </w:rPr>
        <w:t>1</w:t>
      </w:r>
      <w:r w:rsidRPr="00D515DA">
        <w:rPr>
          <w:rFonts w:eastAsia="仿宋_GB2312"/>
        </w:rPr>
        <w:t>部分第</w:t>
      </w:r>
      <w:r w:rsidRPr="00D515DA">
        <w:rPr>
          <w:rFonts w:eastAsia="仿宋_GB2312"/>
        </w:rPr>
        <w:t>7</w:t>
      </w:r>
      <w:r w:rsidRPr="00D515DA">
        <w:rPr>
          <w:rFonts w:eastAsia="仿宋_GB2312"/>
        </w:rPr>
        <w:t>章，与主单重复字段取值一致，签署信息不可篡改，并与主单同步登记存证。专项规范分别对计量类、质量类、交易与安全类、异议与声明类、海关单证提出数据完整性和一致性要求，检测指标符合</w:t>
      </w:r>
      <w:r w:rsidRPr="00D515DA">
        <w:rPr>
          <w:rFonts w:eastAsia="仿宋_GB2312"/>
        </w:rPr>
        <w:t>ISO 8217</w:t>
      </w:r>
      <w:r w:rsidRPr="00D515DA">
        <w:rPr>
          <w:rFonts w:eastAsia="仿宋_GB2312"/>
        </w:rPr>
        <w:t>，海关数据与主单及其他随附单据一致。附录模板为行业统一格式、数据互通提供可操作指引</w:t>
      </w:r>
      <w:r>
        <w:rPr>
          <w:rFonts w:eastAsia="仿宋_GB2312" w:hint="eastAsia"/>
        </w:rPr>
        <w:t>。</w:t>
      </w:r>
    </w:p>
    <w:p w14:paraId="61F1DC19" w14:textId="7301EF39" w:rsidR="00D515DA" w:rsidRDefault="00D515DA" w:rsidP="00D515DA">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7</w:t>
      </w:r>
      <w:r>
        <w:rPr>
          <w:rFonts w:ascii="Times New Roman" w:eastAsia="仿宋_GB2312" w:cs="黑体" w:hint="eastAsia"/>
          <w:sz w:val="32"/>
          <w:szCs w:val="32"/>
        </w:rPr>
        <w:t>、</w:t>
      </w:r>
      <w:r w:rsidRPr="00D515DA">
        <w:rPr>
          <w:rFonts w:ascii="Times New Roman" w:eastAsia="仿宋_GB2312" w:cs="黑体"/>
          <w:sz w:val="32"/>
          <w:szCs w:val="32"/>
        </w:rPr>
        <w:t>主单与辅助单据关联与成套性要求</w:t>
      </w:r>
    </w:p>
    <w:p w14:paraId="16958A78" w14:textId="7E24FC13" w:rsidR="00D515DA" w:rsidRDefault="00D515DA" w:rsidP="00D515DA">
      <w:pPr>
        <w:adjustRightInd w:val="0"/>
        <w:snapToGrid w:val="0"/>
        <w:rPr>
          <w:rFonts w:eastAsia="仿宋_GB2312"/>
        </w:rPr>
      </w:pPr>
      <w:r w:rsidRPr="00D515DA">
        <w:rPr>
          <w:rFonts w:eastAsia="仿宋_GB2312"/>
        </w:rPr>
        <w:t>本文件规定了主单与辅助单据的关联规则、成套性要求及一致性要求，明确采用主单编号作为唯一关联码，一</w:t>
      </w:r>
      <w:r w:rsidRPr="00D515DA">
        <w:rPr>
          <w:rFonts w:eastAsia="仿宋_GB2312"/>
        </w:rPr>
        <w:lastRenderedPageBreak/>
        <w:t>份主单可关联多份同类型或不同类型的辅助单据，一份辅助单据仅可关联一份主单；常规船对船加注业务和码头交货加注业务应分别具备规定的成套单证，未包含必备辅助单据的，信息平台应自动拦截主单登记流程并提示缺失项</w:t>
      </w:r>
      <w:r>
        <w:rPr>
          <w:rFonts w:eastAsia="仿宋_GB2312" w:hint="eastAsia"/>
        </w:rPr>
        <w:t>。</w:t>
      </w:r>
    </w:p>
    <w:p w14:paraId="01EDD9D7" w14:textId="77777777" w:rsidR="00D515DA" w:rsidRDefault="00D515DA" w:rsidP="00D515DA">
      <w:pPr>
        <w:adjustRightInd w:val="0"/>
        <w:snapToGrid w:val="0"/>
        <w:ind w:firstLine="643"/>
        <w:rPr>
          <w:rFonts w:eastAsia="仿宋_GB2312"/>
          <w:b/>
          <w:bCs/>
        </w:rPr>
      </w:pPr>
      <w:r>
        <w:rPr>
          <w:rFonts w:eastAsia="仿宋_GB2312" w:hint="eastAsia"/>
          <w:b/>
          <w:bCs/>
        </w:rPr>
        <w:t>理由及依据：</w:t>
      </w:r>
    </w:p>
    <w:p w14:paraId="1CCAC215" w14:textId="187C2DC1" w:rsidR="00D515DA" w:rsidRDefault="00D515DA" w:rsidP="00D515DA">
      <w:pPr>
        <w:adjustRightInd w:val="0"/>
        <w:snapToGrid w:val="0"/>
        <w:rPr>
          <w:rFonts w:eastAsia="仿宋_GB2312"/>
        </w:rPr>
      </w:pPr>
      <w:r w:rsidRPr="00D515DA">
        <w:rPr>
          <w:rFonts w:eastAsia="仿宋_GB2312"/>
        </w:rPr>
        <w:t>关联规则以主单编号为唯一关联码，保证辅助单据业务背景可追溯、与主单业务内容匹配。一份辅助单据不应关联多份主单，主单登记后新增辅助单据应同步更新主单清单，主单作废时关联辅助单据应同步标注作废标识，避免单独作为有效凭证使用。成套性要求按船对船和码头交货两类场景分别列明必备单据，发生异议时应补充抗议书，海关、海事有额外要求时应补充相应单据，确保成套单证完整覆盖业务全流程。一致性要求对主体、船舶、产品名称、交付数量、时间、地点、合同编号及发票编号等数据进行自动比对，数据不一致的应拦截并提示修改；主单核心数据变更重新生成时，关联辅助单据应同步更新并重新签署确认</w:t>
      </w:r>
      <w:r>
        <w:rPr>
          <w:rFonts w:eastAsia="仿宋_GB2312" w:hint="eastAsia"/>
        </w:rPr>
        <w:t>。</w:t>
      </w:r>
    </w:p>
    <w:p w14:paraId="1529838C" w14:textId="28A07606" w:rsidR="00D515DA" w:rsidRDefault="00D515DA" w:rsidP="00D515DA">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8</w:t>
      </w:r>
      <w:r>
        <w:rPr>
          <w:rFonts w:ascii="Times New Roman" w:eastAsia="仿宋_GB2312" w:cs="黑体" w:hint="eastAsia"/>
          <w:sz w:val="32"/>
          <w:szCs w:val="32"/>
        </w:rPr>
        <w:t>、</w:t>
      </w:r>
      <w:r w:rsidRPr="00D515DA">
        <w:rPr>
          <w:rFonts w:ascii="Times New Roman" w:eastAsia="仿宋_GB2312" w:cs="黑体"/>
          <w:sz w:val="32"/>
          <w:szCs w:val="32"/>
        </w:rPr>
        <w:t>归档与管理要求</w:t>
      </w:r>
    </w:p>
    <w:p w14:paraId="74A8560B" w14:textId="79682FAC" w:rsidR="00D515DA" w:rsidRDefault="00D515DA" w:rsidP="00D515DA">
      <w:pPr>
        <w:adjustRightInd w:val="0"/>
        <w:snapToGrid w:val="0"/>
        <w:rPr>
          <w:rFonts w:eastAsia="仿宋_GB2312"/>
        </w:rPr>
      </w:pPr>
      <w:r w:rsidRPr="00D515DA">
        <w:rPr>
          <w:rFonts w:eastAsia="仿宋_GB2312"/>
        </w:rPr>
        <w:t>本文件规定了主单与关联辅助单据的成套归档、不可篡改存储、留存期限、多维度查询导出及模板更新评审等要求，明确归档内容应包括人可读版本、机器可解释原始数据、签署信息、登记存</w:t>
      </w:r>
      <w:proofErr w:type="gramStart"/>
      <w:r w:rsidRPr="00D515DA">
        <w:rPr>
          <w:rFonts w:eastAsia="仿宋_GB2312"/>
        </w:rPr>
        <w:t>证记录</w:t>
      </w:r>
      <w:proofErr w:type="gramEnd"/>
      <w:r w:rsidRPr="00D515DA">
        <w:rPr>
          <w:rFonts w:eastAsia="仿宋_GB2312"/>
        </w:rPr>
        <w:t>及全流程操作记录，不应</w:t>
      </w:r>
      <w:r w:rsidRPr="00D515DA">
        <w:rPr>
          <w:rFonts w:eastAsia="仿宋_GB2312"/>
        </w:rPr>
        <w:lastRenderedPageBreak/>
        <w:t>单独归档主单或辅助单据</w:t>
      </w:r>
      <w:r>
        <w:rPr>
          <w:rFonts w:eastAsia="仿宋_GB2312" w:hint="eastAsia"/>
        </w:rPr>
        <w:t>。</w:t>
      </w:r>
    </w:p>
    <w:p w14:paraId="78F9C912" w14:textId="77777777" w:rsidR="00D515DA" w:rsidRDefault="00D515DA" w:rsidP="00D515DA">
      <w:pPr>
        <w:adjustRightInd w:val="0"/>
        <w:snapToGrid w:val="0"/>
        <w:ind w:firstLine="643"/>
        <w:rPr>
          <w:rFonts w:eastAsia="仿宋_GB2312"/>
          <w:b/>
          <w:bCs/>
        </w:rPr>
      </w:pPr>
      <w:r>
        <w:rPr>
          <w:rFonts w:eastAsia="仿宋_GB2312" w:hint="eastAsia"/>
          <w:b/>
          <w:bCs/>
        </w:rPr>
        <w:t>理由及依据：</w:t>
      </w:r>
    </w:p>
    <w:p w14:paraId="21A3B918" w14:textId="55F3B464" w:rsidR="00D515DA" w:rsidRDefault="005C2EE1" w:rsidP="00D515DA">
      <w:pPr>
        <w:adjustRightInd w:val="0"/>
        <w:snapToGrid w:val="0"/>
        <w:rPr>
          <w:rFonts w:eastAsia="仿宋_GB2312"/>
        </w:rPr>
      </w:pPr>
      <w:r w:rsidRPr="005C2EE1">
        <w:rPr>
          <w:rFonts w:eastAsia="仿宋_GB2312"/>
        </w:rPr>
        <w:t>归档与管理要求以成套单证为对象，确保电子单证在监管检查、审计核查和司法举证中可完整还原业务全貌。不可篡改存储和留存期限不少于</w:t>
      </w:r>
      <w:r w:rsidR="00F553DE">
        <w:rPr>
          <w:rFonts w:eastAsia="仿宋_GB2312" w:hint="eastAsia"/>
        </w:rPr>
        <w:t>3</w:t>
      </w:r>
      <w:r w:rsidRPr="005C2EE1">
        <w:rPr>
          <w:rFonts w:eastAsia="仿宋_GB2312"/>
        </w:rPr>
        <w:t>年，满足法律法规、监管要求及司法举证需要；支持通过主单编号、船舶</w:t>
      </w:r>
      <w:r w:rsidRPr="005C2EE1">
        <w:rPr>
          <w:rFonts w:eastAsia="仿宋_GB2312"/>
        </w:rPr>
        <w:t>IMO</w:t>
      </w:r>
      <w:r w:rsidRPr="005C2EE1">
        <w:rPr>
          <w:rFonts w:eastAsia="仿宋_GB2312"/>
        </w:rPr>
        <w:t>编号、合同编号及时间范围等维度查询并导出成套单证全量内容，提升业务办理和监管效率；模板更新及字段调整应</w:t>
      </w:r>
      <w:proofErr w:type="gramStart"/>
      <w:r w:rsidRPr="005C2EE1">
        <w:rPr>
          <w:rFonts w:eastAsia="仿宋_GB2312"/>
        </w:rPr>
        <w:t>经标准</w:t>
      </w:r>
      <w:proofErr w:type="gramEnd"/>
      <w:r w:rsidRPr="005C2EE1">
        <w:rPr>
          <w:rFonts w:eastAsia="仿宋_GB2312"/>
        </w:rPr>
        <w:t>归口单位评审确认，防止私自修改标准化模板及必填字段。归档流程和期限与第</w:t>
      </w:r>
      <w:r w:rsidRPr="005C2EE1">
        <w:rPr>
          <w:rFonts w:eastAsia="仿宋_GB2312"/>
        </w:rPr>
        <w:t>1</w:t>
      </w:r>
      <w:r w:rsidRPr="005C2EE1">
        <w:rPr>
          <w:rFonts w:eastAsia="仿宋_GB2312"/>
        </w:rPr>
        <w:t>部分第</w:t>
      </w:r>
      <w:r w:rsidRPr="005C2EE1">
        <w:rPr>
          <w:rFonts w:eastAsia="仿宋_GB2312"/>
        </w:rPr>
        <w:t>5.</w:t>
      </w:r>
      <w:r w:rsidR="00F553DE">
        <w:rPr>
          <w:rFonts w:eastAsia="仿宋_GB2312" w:hint="eastAsia"/>
        </w:rPr>
        <w:t>8</w:t>
      </w:r>
      <w:r w:rsidRPr="005C2EE1">
        <w:rPr>
          <w:rFonts w:eastAsia="仿宋_GB2312"/>
        </w:rPr>
        <w:t>条、第</w:t>
      </w:r>
      <w:r w:rsidRPr="005C2EE1">
        <w:rPr>
          <w:rFonts w:eastAsia="仿宋_GB2312"/>
        </w:rPr>
        <w:t>2</w:t>
      </w:r>
      <w:r w:rsidRPr="005C2EE1">
        <w:rPr>
          <w:rFonts w:eastAsia="仿宋_GB2312"/>
        </w:rPr>
        <w:t>部分第</w:t>
      </w:r>
      <w:r w:rsidRPr="005C2EE1">
        <w:rPr>
          <w:rFonts w:eastAsia="仿宋_GB2312"/>
        </w:rPr>
        <w:t>5.1.</w:t>
      </w:r>
      <w:r w:rsidR="00F553DE">
        <w:rPr>
          <w:rFonts w:eastAsia="仿宋_GB2312" w:hint="eastAsia"/>
        </w:rPr>
        <w:t>8</w:t>
      </w:r>
      <w:r w:rsidRPr="005C2EE1">
        <w:rPr>
          <w:rFonts w:eastAsia="仿宋_GB2312"/>
        </w:rPr>
        <w:t>条相衔接</w:t>
      </w:r>
      <w:r w:rsidR="00D515DA">
        <w:rPr>
          <w:rFonts w:eastAsia="仿宋_GB2312" w:hint="eastAsia"/>
        </w:rPr>
        <w:t>。</w:t>
      </w:r>
    </w:p>
    <w:p w14:paraId="44066E93" w14:textId="77777777" w:rsidR="00B84ABE" w:rsidRDefault="00000000">
      <w:pPr>
        <w:pStyle w:val="1"/>
        <w:adjustRightInd w:val="0"/>
        <w:snapToGrid w:val="0"/>
        <w:spacing w:beforeLines="50" w:before="156" w:afterLines="50" w:after="156" w:line="360" w:lineRule="auto"/>
        <w:ind w:firstLineChars="0" w:firstLine="0"/>
        <w:rPr>
          <w:rFonts w:eastAsia="黑体"/>
        </w:rPr>
      </w:pPr>
      <w:bookmarkStart w:id="48" w:name="_Toc215734352"/>
      <w:r>
        <w:rPr>
          <w:rFonts w:eastAsia="黑体" w:hint="eastAsia"/>
        </w:rPr>
        <w:t>三、试验验证的分析、综述报告，技术经济论证，</w:t>
      </w:r>
      <w:bookmarkStart w:id="49" w:name="OLE_LINK7"/>
      <w:r>
        <w:rPr>
          <w:rFonts w:eastAsia="黑体" w:hint="eastAsia"/>
        </w:rPr>
        <w:t>预期的经济效益、社会效益和生态效益</w:t>
      </w:r>
      <w:bookmarkEnd w:id="42"/>
      <w:bookmarkEnd w:id="43"/>
      <w:bookmarkEnd w:id="44"/>
      <w:bookmarkEnd w:id="45"/>
      <w:bookmarkEnd w:id="46"/>
      <w:bookmarkEnd w:id="47"/>
      <w:bookmarkEnd w:id="48"/>
    </w:p>
    <w:bookmarkEnd w:id="49"/>
    <w:p w14:paraId="45CCE51A" w14:textId="77777777" w:rsidR="00B84ABE" w:rsidRDefault="00000000">
      <w:pPr>
        <w:adjustRightInd w:val="0"/>
        <w:snapToGrid w:val="0"/>
        <w:spacing w:beforeLines="50" w:before="156" w:afterLines="50" w:after="156"/>
        <w:ind w:firstLine="643"/>
        <w:outlineLvl w:val="1"/>
        <w:rPr>
          <w:rFonts w:eastAsia="楷体" w:cs="楷体"/>
          <w:b/>
          <w:bCs/>
        </w:rPr>
      </w:pPr>
      <w:r>
        <w:rPr>
          <w:rFonts w:eastAsia="楷体" w:cs="楷体" w:hint="eastAsia"/>
          <w:b/>
          <w:bCs/>
        </w:rPr>
        <w:t>（一）试验验证的分析</w:t>
      </w:r>
    </w:p>
    <w:p w14:paraId="1CBAB2F3" w14:textId="522FAD7E" w:rsidR="005C2EE1" w:rsidRPr="005C2EE1" w:rsidRDefault="00000000" w:rsidP="005C2EE1">
      <w:pPr>
        <w:adjustRightInd w:val="0"/>
        <w:snapToGrid w:val="0"/>
        <w:rPr>
          <w:rFonts w:eastAsia="仿宋_GB2312"/>
        </w:rPr>
      </w:pPr>
      <w:bookmarkStart w:id="50" w:name="OLE_LINK9"/>
      <w:r>
        <w:rPr>
          <w:rFonts w:eastAsia="仿宋_GB2312" w:hint="eastAsia"/>
        </w:rPr>
        <w:t>在</w:t>
      </w:r>
      <w:r w:rsidR="005C2EE1" w:rsidRPr="005C2EE1">
        <w:rPr>
          <w:rFonts w:eastAsia="仿宋_GB2312" w:hint="eastAsia"/>
        </w:rPr>
        <w:t>标准编制过程中，编制组选取具备代表性的国际航行船舶保税燃料加注作业场景，围绕本文件确立的主单内容规范、辅助单据分类与关联、成套性与一致性管控、归档与管理规则开展了专项验证。验证重点覆盖，一是加注计量单、仪表读数记录表、质量流量计系统密封检查表、数量证书、质量证书等辅助单据模板与主单编号的关联绑定准确性；二是主单与辅助单据在主体信息、船舶信息、</w:t>
      </w:r>
      <w:r w:rsidR="005C2EE1" w:rsidRPr="005C2EE1">
        <w:rPr>
          <w:rFonts w:eastAsia="仿宋_GB2312" w:hint="eastAsia"/>
        </w:rPr>
        <w:lastRenderedPageBreak/>
        <w:t>产品信息、交付数量、时间、地点、合同及发票编号等数据项的一致性自动校验能力；三是常规船对船加注与码头交货加注场景下成套单证完备性拦截与缺失项提示的有效性；四是海关运输工具起卸</w:t>
      </w:r>
      <w:r w:rsidR="005C2EE1" w:rsidRPr="005C2EE1">
        <w:rPr>
          <w:rFonts w:eastAsia="仿宋_GB2312" w:hint="eastAsia"/>
        </w:rPr>
        <w:t>/</w:t>
      </w:r>
      <w:r w:rsidR="005C2EE1" w:rsidRPr="005C2EE1">
        <w:rPr>
          <w:rFonts w:eastAsia="仿宋_GB2312" w:hint="eastAsia"/>
        </w:rPr>
        <w:t>添加物料数量报告、进口</w:t>
      </w:r>
      <w:r w:rsidR="005C2EE1" w:rsidRPr="005C2EE1">
        <w:rPr>
          <w:rFonts w:eastAsia="仿宋_GB2312" w:hint="eastAsia"/>
        </w:rPr>
        <w:t>/</w:t>
      </w:r>
      <w:r w:rsidR="005C2EE1" w:rsidRPr="005C2EE1">
        <w:rPr>
          <w:rFonts w:eastAsia="仿宋_GB2312" w:hint="eastAsia"/>
        </w:rPr>
        <w:t>出口货物报关单、</w:t>
      </w:r>
      <w:proofErr w:type="gramStart"/>
      <w:r w:rsidR="005C2EE1" w:rsidRPr="005C2EE1">
        <w:rPr>
          <w:rFonts w:eastAsia="仿宋_GB2312" w:hint="eastAsia"/>
        </w:rPr>
        <w:t>保税核注清单</w:t>
      </w:r>
      <w:proofErr w:type="gramEnd"/>
      <w:r w:rsidR="005C2EE1" w:rsidRPr="005C2EE1">
        <w:rPr>
          <w:rFonts w:eastAsia="仿宋_GB2312" w:hint="eastAsia"/>
        </w:rPr>
        <w:t>、保税仓库货物出仓清单等海关单证与主单数据的一致性及成套归档、多维度查询导出能力。</w:t>
      </w:r>
    </w:p>
    <w:p w14:paraId="5CB6D853" w14:textId="34F9F4C7" w:rsidR="00B84ABE" w:rsidRDefault="005C2EE1" w:rsidP="005C2EE1">
      <w:pPr>
        <w:adjustRightInd w:val="0"/>
        <w:snapToGrid w:val="0"/>
        <w:rPr>
          <w:rFonts w:eastAsia="仿宋_GB2312"/>
        </w:rPr>
      </w:pPr>
      <w:r w:rsidRPr="005C2EE1">
        <w:rPr>
          <w:rFonts w:eastAsia="仿宋_GB2312" w:hint="eastAsia"/>
        </w:rPr>
        <w:t>验证结果表明：本文件规定的辅助单据五类划分、通用与专项规范、主单编号唯一关联规则、成套单证清单及一致性校验要求逻辑自洽、职责清晰，无需额外补充复杂流程及专用设备即可应用</w:t>
      </w:r>
      <w:proofErr w:type="gramStart"/>
      <w:r w:rsidRPr="005C2EE1">
        <w:rPr>
          <w:rFonts w:eastAsia="仿宋_GB2312" w:hint="eastAsia"/>
        </w:rPr>
        <w:t>于典型</w:t>
      </w:r>
      <w:proofErr w:type="gramEnd"/>
      <w:r w:rsidRPr="005C2EE1">
        <w:rPr>
          <w:rFonts w:eastAsia="仿宋_GB2312" w:hint="eastAsia"/>
        </w:rPr>
        <w:t>加注场景，核查要点界定明确、无模糊表述；基于主单编号的关联绑定与自动一致性校验可有效支撑主单与辅助单据成套管理、同步登记与独立核验，海关单证与主单数据一致性要求可满足监管申报与审计核查需要。上述验证印证了本文件的可操作性、科学性与实用性，具备良好的推广价值</w:t>
      </w:r>
      <w:r>
        <w:rPr>
          <w:rFonts w:eastAsia="仿宋_GB2312" w:hint="eastAsia"/>
        </w:rPr>
        <w:t>。</w:t>
      </w:r>
    </w:p>
    <w:bookmarkEnd w:id="50"/>
    <w:p w14:paraId="6D95D552" w14:textId="77777777" w:rsidR="00B84ABE" w:rsidRDefault="00000000">
      <w:pPr>
        <w:adjustRightInd w:val="0"/>
        <w:snapToGrid w:val="0"/>
        <w:spacing w:beforeLines="50" w:before="156" w:afterLines="50" w:after="156"/>
        <w:ind w:firstLine="643"/>
        <w:outlineLvl w:val="1"/>
        <w:rPr>
          <w:rFonts w:eastAsia="楷体" w:cs="楷体"/>
          <w:b/>
          <w:bCs/>
        </w:rPr>
      </w:pPr>
      <w:r>
        <w:rPr>
          <w:rFonts w:eastAsia="楷体" w:cs="楷体" w:hint="eastAsia"/>
          <w:b/>
          <w:bCs/>
        </w:rPr>
        <w:t>（二）预期的经济效益、社会效益和生态效益</w:t>
      </w:r>
    </w:p>
    <w:p w14:paraId="28259D95" w14:textId="77777777" w:rsidR="00B84ABE"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1</w:t>
      </w:r>
      <w:r>
        <w:rPr>
          <w:rFonts w:ascii="Times New Roman" w:eastAsia="仿宋_GB2312" w:cs="黑体" w:hint="eastAsia"/>
          <w:sz w:val="32"/>
          <w:szCs w:val="32"/>
        </w:rPr>
        <w:t>、经济效益</w:t>
      </w:r>
    </w:p>
    <w:p w14:paraId="461B1B18" w14:textId="7430365B" w:rsidR="00B84ABE" w:rsidRDefault="005C2EE1">
      <w:pPr>
        <w:adjustRightInd w:val="0"/>
        <w:snapToGrid w:val="0"/>
        <w:rPr>
          <w:rFonts w:eastAsia="仿宋_GB2312"/>
        </w:rPr>
      </w:pPr>
      <w:r w:rsidRPr="005C2EE1">
        <w:rPr>
          <w:rFonts w:eastAsia="仿宋_GB2312"/>
        </w:rPr>
        <w:t>本文件通过统一辅助单据模板、数据元与字段定义，实现主单与辅助单据数据自动关联、一致性校验与成套归档，可显著降低供油方、</w:t>
      </w:r>
      <w:proofErr w:type="gramStart"/>
      <w:r w:rsidRPr="005C2EE1">
        <w:rPr>
          <w:rFonts w:eastAsia="仿宋_GB2312"/>
        </w:rPr>
        <w:t>受油方及</w:t>
      </w:r>
      <w:proofErr w:type="gramEnd"/>
      <w:r w:rsidRPr="005C2EE1">
        <w:rPr>
          <w:rFonts w:eastAsia="仿宋_GB2312"/>
        </w:rPr>
        <w:t>检验机构的单证制作、</w:t>
      </w:r>
      <w:r w:rsidRPr="005C2EE1">
        <w:rPr>
          <w:rFonts w:eastAsia="仿宋_GB2312"/>
        </w:rPr>
        <w:lastRenderedPageBreak/>
        <w:t>核对、传递与存档成本，缩短结算与申报周期；海关单证与主单数据自动比对、成套拦截与缺失提示，减少重复申报与人工录入差错，提升贸易结算与通关效率，助力燃料供应企业降本增效</w:t>
      </w:r>
      <w:r>
        <w:rPr>
          <w:rFonts w:eastAsia="仿宋_GB2312"/>
        </w:rPr>
        <w:t>。</w:t>
      </w:r>
    </w:p>
    <w:p w14:paraId="18EB49E1" w14:textId="77777777" w:rsidR="00B84ABE"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2</w:t>
      </w:r>
      <w:r>
        <w:rPr>
          <w:rFonts w:ascii="Times New Roman" w:eastAsia="仿宋_GB2312" w:cs="黑体" w:hint="eastAsia"/>
          <w:sz w:val="32"/>
          <w:szCs w:val="32"/>
        </w:rPr>
        <w:t>、社会效益</w:t>
      </w:r>
    </w:p>
    <w:p w14:paraId="157DEE45" w14:textId="78A22682" w:rsidR="00B84ABE" w:rsidRDefault="005C2EE1">
      <w:pPr>
        <w:adjustRightInd w:val="0"/>
        <w:snapToGrid w:val="0"/>
        <w:rPr>
          <w:rFonts w:eastAsia="仿宋_GB2312"/>
        </w:rPr>
      </w:pPr>
      <w:r w:rsidRPr="005C2EE1">
        <w:rPr>
          <w:rFonts w:eastAsia="仿宋_GB2312"/>
        </w:rPr>
        <w:t>本文件统一行业辅助单据技术基线，支撑海关、海事等监管部门通过主单编号查询全部关联辅助单据，实现数据实时上报与在线查证，提升监管协同效率与执法精准度；主单与辅助单据唯一关联、成套归档和一致性管控机制的建立，有利于规范船用燃料供应市场秩序、保护交易各方合法权益，并为航运业信用体系建设提供凭证基础</w:t>
      </w:r>
      <w:r>
        <w:rPr>
          <w:rFonts w:eastAsia="仿宋_GB2312"/>
        </w:rPr>
        <w:t>。</w:t>
      </w:r>
    </w:p>
    <w:p w14:paraId="1B2A8304" w14:textId="77777777" w:rsidR="00B84ABE" w:rsidRDefault="00000000">
      <w:pPr>
        <w:pStyle w:val="a"/>
        <w:widowControl w:val="0"/>
        <w:numPr>
          <w:ilvl w:val="0"/>
          <w:numId w:val="0"/>
        </w:numPr>
        <w:adjustRightInd w:val="0"/>
        <w:snapToGrid w:val="0"/>
        <w:spacing w:beforeLines="50" w:before="156" w:afterLines="50" w:after="156" w:line="360" w:lineRule="auto"/>
        <w:ind w:firstLineChars="200" w:firstLine="640"/>
        <w:outlineLvl w:val="2"/>
        <w:rPr>
          <w:rFonts w:ascii="Times New Roman" w:eastAsia="仿宋_GB2312" w:cs="黑体"/>
          <w:sz w:val="32"/>
          <w:szCs w:val="32"/>
        </w:rPr>
      </w:pPr>
      <w:r>
        <w:rPr>
          <w:rFonts w:ascii="Times New Roman" w:eastAsia="仿宋_GB2312" w:cs="黑体" w:hint="eastAsia"/>
          <w:sz w:val="32"/>
          <w:szCs w:val="32"/>
        </w:rPr>
        <w:t>3</w:t>
      </w:r>
      <w:r>
        <w:rPr>
          <w:rFonts w:ascii="Times New Roman" w:eastAsia="仿宋_GB2312" w:cs="黑体" w:hint="eastAsia"/>
          <w:sz w:val="32"/>
          <w:szCs w:val="32"/>
        </w:rPr>
        <w:t>、生态效益</w:t>
      </w:r>
    </w:p>
    <w:p w14:paraId="48F101E6" w14:textId="1A42AF44" w:rsidR="00B84ABE" w:rsidRDefault="005C2EE1">
      <w:pPr>
        <w:adjustRightInd w:val="0"/>
        <w:snapToGrid w:val="0"/>
        <w:rPr>
          <w:rFonts w:eastAsia="仿宋_GB2312"/>
        </w:rPr>
      </w:pPr>
      <w:r w:rsidRPr="005C2EE1">
        <w:rPr>
          <w:rFonts w:eastAsia="仿宋_GB2312"/>
        </w:rPr>
        <w:t>本文件支撑</w:t>
      </w:r>
      <w:r w:rsidRPr="005C2EE1">
        <w:rPr>
          <w:rFonts w:eastAsia="仿宋_GB2312"/>
        </w:rPr>
        <w:t>IMO</w:t>
      </w:r>
      <w:r w:rsidRPr="005C2EE1">
        <w:rPr>
          <w:rFonts w:eastAsia="仿宋_GB2312"/>
        </w:rPr>
        <w:t>温室气体减</w:t>
      </w:r>
      <w:proofErr w:type="gramStart"/>
      <w:r w:rsidRPr="005C2EE1">
        <w:rPr>
          <w:rFonts w:eastAsia="仿宋_GB2312"/>
        </w:rPr>
        <w:t>排战略</w:t>
      </w:r>
      <w:proofErr w:type="gramEnd"/>
      <w:r w:rsidRPr="005C2EE1">
        <w:rPr>
          <w:rFonts w:eastAsia="仿宋_GB2312"/>
        </w:rPr>
        <w:t>及</w:t>
      </w:r>
      <w:r w:rsidRPr="005C2EE1">
        <w:rPr>
          <w:rFonts w:eastAsia="仿宋_GB2312"/>
        </w:rPr>
        <w:t>MARPOL</w:t>
      </w:r>
      <w:r w:rsidRPr="005C2EE1">
        <w:rPr>
          <w:rFonts w:eastAsia="仿宋_GB2312"/>
        </w:rPr>
        <w:t>公约对燃油质量、消耗数据记录的要求，通过标准化的计量类、质量类辅助单据与主单关联体系，保障燃料来源、质量与数量的</w:t>
      </w:r>
      <w:proofErr w:type="gramStart"/>
      <w:r w:rsidRPr="005C2EE1">
        <w:rPr>
          <w:rFonts w:eastAsia="仿宋_GB2312"/>
        </w:rPr>
        <w:t>真实可</w:t>
      </w:r>
      <w:proofErr w:type="gramEnd"/>
      <w:r w:rsidRPr="005C2EE1">
        <w:rPr>
          <w:rFonts w:eastAsia="仿宋_GB2312"/>
        </w:rPr>
        <w:t>追溯，为船舶温室气体排放核算与合</w:t>
      </w:r>
      <w:proofErr w:type="gramStart"/>
      <w:r w:rsidRPr="005C2EE1">
        <w:rPr>
          <w:rFonts w:eastAsia="仿宋_GB2312"/>
        </w:rPr>
        <w:t>规</w:t>
      </w:r>
      <w:proofErr w:type="gramEnd"/>
      <w:r w:rsidRPr="005C2EE1">
        <w:rPr>
          <w:rFonts w:eastAsia="仿宋_GB2312"/>
        </w:rPr>
        <w:t>申报提供可靠数据基础，助力航运业绿色低碳转型与海洋环境保护</w:t>
      </w:r>
      <w:r>
        <w:rPr>
          <w:rFonts w:eastAsia="仿宋_GB2312" w:hint="eastAsia"/>
        </w:rPr>
        <w:t>。</w:t>
      </w:r>
    </w:p>
    <w:p w14:paraId="60E2BF67" w14:textId="77777777" w:rsidR="00B84ABE" w:rsidRDefault="00000000">
      <w:pPr>
        <w:pStyle w:val="1"/>
        <w:adjustRightInd w:val="0"/>
        <w:snapToGrid w:val="0"/>
        <w:spacing w:beforeLines="50" w:before="156" w:afterLines="50" w:after="156" w:line="360" w:lineRule="auto"/>
        <w:ind w:firstLineChars="0" w:firstLine="0"/>
        <w:rPr>
          <w:rFonts w:eastAsia="黑体"/>
        </w:rPr>
      </w:pPr>
      <w:bookmarkStart w:id="51" w:name="_Toc18488"/>
      <w:bookmarkStart w:id="52" w:name="_Toc18868"/>
      <w:bookmarkStart w:id="53" w:name="_Toc11758"/>
      <w:bookmarkStart w:id="54" w:name="_Toc32477"/>
      <w:bookmarkStart w:id="55" w:name="_Toc10630"/>
      <w:bookmarkStart w:id="56" w:name="_Toc29767"/>
      <w:bookmarkStart w:id="57" w:name="_Toc215734353"/>
      <w:r>
        <w:rPr>
          <w:rFonts w:eastAsia="黑体" w:hint="eastAsia"/>
        </w:rPr>
        <w:t>四、与国际、国外同类标准技术内容的对比情况</w:t>
      </w:r>
      <w:bookmarkEnd w:id="51"/>
      <w:bookmarkEnd w:id="52"/>
      <w:bookmarkEnd w:id="53"/>
      <w:bookmarkEnd w:id="54"/>
      <w:bookmarkEnd w:id="55"/>
      <w:bookmarkEnd w:id="56"/>
      <w:bookmarkEnd w:id="57"/>
    </w:p>
    <w:p w14:paraId="345435EC" w14:textId="1B80D90F" w:rsidR="005C2EE1" w:rsidRPr="005C2EE1" w:rsidRDefault="00000000" w:rsidP="005C2EE1">
      <w:pPr>
        <w:adjustRightInd w:val="0"/>
        <w:snapToGrid w:val="0"/>
        <w:rPr>
          <w:rFonts w:eastAsia="仿宋_GB2312"/>
        </w:rPr>
      </w:pPr>
      <w:bookmarkStart w:id="58" w:name="_Toc21008"/>
      <w:bookmarkStart w:id="59" w:name="_Toc23707"/>
      <w:bookmarkStart w:id="60" w:name="_Toc16323"/>
      <w:bookmarkStart w:id="61" w:name="_Toc14425"/>
      <w:bookmarkStart w:id="62" w:name="_Toc25667"/>
      <w:bookmarkStart w:id="63" w:name="_Toc31361"/>
      <w:r>
        <w:rPr>
          <w:rFonts w:eastAsia="仿宋_GB2312" w:hint="eastAsia"/>
        </w:rPr>
        <w:t>在</w:t>
      </w:r>
      <w:r w:rsidR="005C2EE1" w:rsidRPr="005C2EE1">
        <w:rPr>
          <w:rFonts w:eastAsia="仿宋_GB2312" w:hint="eastAsia"/>
        </w:rPr>
        <w:t>国际层面，</w:t>
      </w:r>
      <w:r w:rsidR="005C2EE1" w:rsidRPr="005C2EE1">
        <w:rPr>
          <w:rFonts w:eastAsia="仿宋_GB2312" w:hint="eastAsia"/>
        </w:rPr>
        <w:t>ISO 8217</w:t>
      </w:r>
      <w:r w:rsidR="005C2EE1" w:rsidRPr="005C2EE1">
        <w:rPr>
          <w:rFonts w:eastAsia="仿宋_GB2312" w:hint="eastAsia"/>
        </w:rPr>
        <w:t>《石油产品</w:t>
      </w:r>
      <w:r w:rsidR="005C2EE1" w:rsidRPr="005C2EE1">
        <w:rPr>
          <w:rFonts w:eastAsia="仿宋_GB2312" w:hint="eastAsia"/>
        </w:rPr>
        <w:t xml:space="preserve"> </w:t>
      </w:r>
      <w:r w:rsidR="005C2EE1" w:rsidRPr="005C2EE1">
        <w:rPr>
          <w:rFonts w:eastAsia="仿宋_GB2312" w:hint="eastAsia"/>
        </w:rPr>
        <w:t>燃料（</w:t>
      </w:r>
      <w:r w:rsidR="005C2EE1" w:rsidRPr="005C2EE1">
        <w:rPr>
          <w:rFonts w:eastAsia="仿宋_GB2312" w:hint="eastAsia"/>
        </w:rPr>
        <w:t>F</w:t>
      </w:r>
      <w:r w:rsidR="005C2EE1" w:rsidRPr="005C2EE1">
        <w:rPr>
          <w:rFonts w:eastAsia="仿宋_GB2312" w:hint="eastAsia"/>
        </w:rPr>
        <w:t>类）</w:t>
      </w:r>
      <w:r w:rsidR="005C2EE1" w:rsidRPr="005C2EE1">
        <w:rPr>
          <w:rFonts w:eastAsia="仿宋_GB2312" w:hint="eastAsia"/>
        </w:rPr>
        <w:t xml:space="preserve"> </w:t>
      </w:r>
      <w:r w:rsidR="005C2EE1" w:rsidRPr="005C2EE1">
        <w:rPr>
          <w:rFonts w:eastAsia="仿宋_GB2312" w:hint="eastAsia"/>
        </w:rPr>
        <w:t>船用燃料油规范》规定了船用燃料的质量要求，</w:t>
      </w:r>
      <w:r w:rsidR="005C2EE1" w:rsidRPr="005C2EE1">
        <w:rPr>
          <w:rFonts w:eastAsia="仿宋_GB2312" w:hint="eastAsia"/>
        </w:rPr>
        <w:t xml:space="preserve">ISO </w:t>
      </w:r>
      <w:r w:rsidR="005C2EE1" w:rsidRPr="005C2EE1">
        <w:rPr>
          <w:rFonts w:eastAsia="仿宋_GB2312" w:hint="eastAsia"/>
        </w:rPr>
        <w:lastRenderedPageBreak/>
        <w:t>23765:2021/GB/T 45487</w:t>
      </w:r>
      <w:r w:rsidR="005C2EE1" w:rsidRPr="005C2EE1">
        <w:rPr>
          <w:rFonts w:eastAsia="仿宋_GB2312" w:hint="eastAsia"/>
        </w:rPr>
        <w:t>—</w:t>
      </w:r>
      <w:r w:rsidR="005C2EE1" w:rsidRPr="005C2EE1">
        <w:rPr>
          <w:rFonts w:eastAsia="仿宋_GB2312" w:hint="eastAsia"/>
        </w:rPr>
        <w:t>2025</w:t>
      </w:r>
      <w:r w:rsidR="005C2EE1" w:rsidRPr="005C2EE1">
        <w:rPr>
          <w:rFonts w:eastAsia="仿宋_GB2312" w:hint="eastAsia"/>
        </w:rPr>
        <w:t>《船舶与海上技术</w:t>
      </w:r>
      <w:r w:rsidR="005C2EE1" w:rsidRPr="005C2EE1">
        <w:rPr>
          <w:rFonts w:eastAsia="仿宋_GB2312" w:hint="eastAsia"/>
        </w:rPr>
        <w:t xml:space="preserve"> </w:t>
      </w:r>
      <w:r w:rsidR="005C2EE1" w:rsidRPr="005C2EE1">
        <w:rPr>
          <w:rFonts w:eastAsia="仿宋_GB2312" w:hint="eastAsia"/>
        </w:rPr>
        <w:t>海上环境保护</w:t>
      </w:r>
      <w:r w:rsidR="005C2EE1" w:rsidRPr="005C2EE1">
        <w:rPr>
          <w:rFonts w:eastAsia="仿宋_GB2312" w:hint="eastAsia"/>
        </w:rPr>
        <w:t xml:space="preserve"> </w:t>
      </w:r>
      <w:r w:rsidR="005C2EE1" w:rsidRPr="005C2EE1">
        <w:rPr>
          <w:rFonts w:eastAsia="仿宋_GB2312" w:hint="eastAsia"/>
        </w:rPr>
        <w:t>船舶燃油消耗数据收集规范》规定了船舶燃油消耗数据收集要求，上述国际文件共同构成船用燃料供应领域的国际标准体系。上述国际文件主要针对物理</w:t>
      </w:r>
      <w:r w:rsidR="005C2EE1" w:rsidRPr="005C2EE1">
        <w:rPr>
          <w:rFonts w:eastAsia="仿宋_GB2312" w:hint="eastAsia"/>
        </w:rPr>
        <w:t>BDN</w:t>
      </w:r>
      <w:r w:rsidR="005C2EE1" w:rsidRPr="005C2EE1">
        <w:rPr>
          <w:rFonts w:eastAsia="仿宋_GB2312" w:hint="eastAsia"/>
        </w:rPr>
        <w:t>的内容格式、燃料质量及消耗数据收集，对辅助单据分类与专项规范、主单与辅助单据唯一关联、成套性要求、一致性自动校验及成套归档管理等系统性技术规范尚不充分。</w:t>
      </w:r>
    </w:p>
    <w:p w14:paraId="215AF05B" w14:textId="48C10B8F" w:rsidR="00B84ABE" w:rsidRDefault="005C2EE1" w:rsidP="005C2EE1">
      <w:pPr>
        <w:adjustRightInd w:val="0"/>
        <w:snapToGrid w:val="0"/>
      </w:pPr>
      <w:r w:rsidRPr="005C2EE1">
        <w:rPr>
          <w:rFonts w:eastAsia="仿宋_GB2312" w:hint="eastAsia"/>
        </w:rPr>
        <w:t>本文件在充分借鉴</w:t>
      </w:r>
      <w:r w:rsidRPr="005C2EE1">
        <w:rPr>
          <w:rFonts w:eastAsia="仿宋_GB2312" w:hint="eastAsia"/>
        </w:rPr>
        <w:t>IMO</w:t>
      </w:r>
      <w:r w:rsidRPr="005C2EE1">
        <w:rPr>
          <w:rFonts w:eastAsia="仿宋_GB2312" w:hint="eastAsia"/>
        </w:rPr>
        <w:t>、</w:t>
      </w:r>
      <w:r w:rsidRPr="005C2EE1">
        <w:rPr>
          <w:rFonts w:eastAsia="仿宋_GB2312" w:hint="eastAsia"/>
        </w:rPr>
        <w:t>ISO</w:t>
      </w:r>
      <w:r w:rsidRPr="005C2EE1">
        <w:rPr>
          <w:rFonts w:eastAsia="仿宋_GB2312" w:hint="eastAsia"/>
        </w:rPr>
        <w:t>等国际通行规则的基础上，结合我国船用燃料供应业务与监管实际，创新性地确立了辅助单据五类划分、通用与专项规范、主单编号唯一关联码、船对船与码头交货成套单证清单、主单与辅助单据一致性校验及多维度归档查询等要求，填补了国内船用燃料供应电子辅助单据基本信息规范的空白。本文件的技术内容与</w:t>
      </w:r>
      <w:r w:rsidRPr="005C2EE1">
        <w:rPr>
          <w:rFonts w:eastAsia="仿宋_GB2312" w:hint="eastAsia"/>
        </w:rPr>
        <w:t>ISO 8217</w:t>
      </w:r>
      <w:r w:rsidRPr="005C2EE1">
        <w:rPr>
          <w:rFonts w:eastAsia="仿宋_GB2312" w:hint="eastAsia"/>
        </w:rPr>
        <w:t>、</w:t>
      </w:r>
      <w:r w:rsidRPr="005C2EE1">
        <w:rPr>
          <w:rFonts w:eastAsia="仿宋_GB2312" w:hint="eastAsia"/>
        </w:rPr>
        <w:t>ISO 23765</w:t>
      </w:r>
      <w:r w:rsidRPr="005C2EE1">
        <w:rPr>
          <w:rFonts w:eastAsia="仿宋_GB2312" w:hint="eastAsia"/>
        </w:rPr>
        <w:t>—</w:t>
      </w:r>
      <w:r w:rsidRPr="005C2EE1">
        <w:rPr>
          <w:rFonts w:eastAsia="仿宋_GB2312" w:hint="eastAsia"/>
        </w:rPr>
        <w:t>2021</w:t>
      </w:r>
      <w:r w:rsidRPr="005C2EE1">
        <w:rPr>
          <w:rFonts w:eastAsia="仿宋_GB2312" w:hint="eastAsia"/>
        </w:rPr>
        <w:t>等国际标准在</w:t>
      </w:r>
      <w:r w:rsidRPr="005C2EE1">
        <w:rPr>
          <w:rFonts w:eastAsia="仿宋_GB2312" w:hint="eastAsia"/>
        </w:rPr>
        <w:t>BDN</w:t>
      </w:r>
      <w:r w:rsidRPr="005C2EE1">
        <w:rPr>
          <w:rFonts w:eastAsia="仿宋_GB2312" w:hint="eastAsia"/>
        </w:rPr>
        <w:t>必备信息、燃料质量与数据记录要求上保持协调一致，具备与国际规则对接的兼容性</w:t>
      </w:r>
      <w:r>
        <w:rPr>
          <w:rFonts w:eastAsia="仿宋_GB2312" w:hint="eastAsia"/>
        </w:rPr>
        <w:t>。</w:t>
      </w:r>
    </w:p>
    <w:p w14:paraId="38C3A99A" w14:textId="77777777" w:rsidR="00B84ABE" w:rsidRDefault="00000000">
      <w:pPr>
        <w:pStyle w:val="1"/>
        <w:adjustRightInd w:val="0"/>
        <w:snapToGrid w:val="0"/>
        <w:spacing w:beforeLines="50" w:before="156" w:afterLines="50" w:after="156" w:line="360" w:lineRule="auto"/>
        <w:ind w:firstLineChars="0" w:firstLine="0"/>
        <w:rPr>
          <w:rFonts w:eastAsia="黑体"/>
        </w:rPr>
      </w:pPr>
      <w:bookmarkStart w:id="64" w:name="_Toc215734354"/>
      <w:r>
        <w:rPr>
          <w:rFonts w:eastAsia="黑体" w:hint="eastAsia"/>
        </w:rPr>
        <w:t>五、以国际标准为基础的起草情况，以及是否合</w:t>
      </w:r>
      <w:proofErr w:type="gramStart"/>
      <w:r>
        <w:rPr>
          <w:rFonts w:eastAsia="黑体" w:hint="eastAsia"/>
        </w:rPr>
        <w:t>规</w:t>
      </w:r>
      <w:proofErr w:type="gramEnd"/>
      <w:r>
        <w:rPr>
          <w:rFonts w:eastAsia="黑体" w:hint="eastAsia"/>
        </w:rPr>
        <w:t>引用或</w:t>
      </w:r>
      <w:r>
        <w:rPr>
          <w:rFonts w:eastAsia="黑体" w:hint="eastAsia"/>
        </w:rPr>
        <w:t xml:space="preserve"> </w:t>
      </w:r>
      <w:r>
        <w:rPr>
          <w:rFonts w:eastAsia="黑体" w:hint="eastAsia"/>
        </w:rPr>
        <w:t>者采用国际国外标准，并说明未采用国际标准的原因</w:t>
      </w:r>
      <w:bookmarkEnd w:id="58"/>
      <w:bookmarkEnd w:id="59"/>
      <w:bookmarkEnd w:id="60"/>
      <w:bookmarkEnd w:id="61"/>
      <w:bookmarkEnd w:id="62"/>
      <w:bookmarkEnd w:id="63"/>
      <w:bookmarkEnd w:id="64"/>
    </w:p>
    <w:p w14:paraId="454E4AEB" w14:textId="77777777" w:rsidR="00B84ABE" w:rsidRDefault="00000000">
      <w:pPr>
        <w:adjustRightInd w:val="0"/>
        <w:snapToGrid w:val="0"/>
        <w:rPr>
          <w:rFonts w:eastAsia="仿宋_GB2312"/>
        </w:rPr>
      </w:pPr>
      <w:bookmarkStart w:id="65" w:name="_Hlk192670303"/>
      <w:r>
        <w:rPr>
          <w:rFonts w:eastAsia="仿宋_GB2312" w:hint="eastAsia"/>
        </w:rPr>
        <w:t>本文件在术语、业务规则上与</w:t>
      </w:r>
      <w:r>
        <w:rPr>
          <w:rFonts w:eastAsia="仿宋_GB2312" w:hint="eastAsia"/>
        </w:rPr>
        <w:t>IMO</w:t>
      </w:r>
      <w:r>
        <w:rPr>
          <w:rFonts w:eastAsia="仿宋_GB2312" w:hint="eastAsia"/>
        </w:rPr>
        <w:t>、</w:t>
      </w:r>
      <w:r>
        <w:rPr>
          <w:rFonts w:eastAsia="仿宋_GB2312" w:hint="eastAsia"/>
        </w:rPr>
        <w:t>ISO</w:t>
      </w:r>
      <w:r>
        <w:rPr>
          <w:rFonts w:eastAsia="仿宋_GB2312" w:hint="eastAsia"/>
        </w:rPr>
        <w:t>相关标准保持协调，采用了对标与合</w:t>
      </w:r>
      <w:proofErr w:type="gramStart"/>
      <w:r>
        <w:rPr>
          <w:rFonts w:eastAsia="仿宋_GB2312" w:hint="eastAsia"/>
        </w:rPr>
        <w:t>规</w:t>
      </w:r>
      <w:proofErr w:type="gramEnd"/>
      <w:r>
        <w:rPr>
          <w:rFonts w:eastAsia="仿宋_GB2312" w:hint="eastAsia"/>
        </w:rPr>
        <w:t>引用相结合的方式，未直接以某一国际标准为基础进行等同采用起草，主要原因如下：</w:t>
      </w:r>
    </w:p>
    <w:p w14:paraId="679CE845" w14:textId="615846D3" w:rsidR="00B84ABE" w:rsidRDefault="005C2EE1">
      <w:pPr>
        <w:adjustRightInd w:val="0"/>
        <w:snapToGrid w:val="0"/>
        <w:rPr>
          <w:rFonts w:eastAsia="仿宋_GB2312"/>
        </w:rPr>
      </w:pPr>
      <w:r w:rsidRPr="005C2EE1">
        <w:rPr>
          <w:rFonts w:eastAsia="仿宋_GB2312"/>
        </w:rPr>
        <w:t>一是国际上尚无专门针对船用燃料供应电子辅助单据</w:t>
      </w:r>
      <w:r w:rsidRPr="005C2EE1">
        <w:rPr>
          <w:rFonts w:eastAsia="仿宋_GB2312"/>
        </w:rPr>
        <w:lastRenderedPageBreak/>
        <w:t>基本信息及主单关联成套管理的系统性、完整性标准，</w:t>
      </w:r>
      <w:r w:rsidRPr="005C2EE1">
        <w:rPr>
          <w:rFonts w:eastAsia="仿宋_GB2312"/>
        </w:rPr>
        <w:t>ISO 8217</w:t>
      </w:r>
      <w:r w:rsidRPr="005C2EE1">
        <w:rPr>
          <w:rFonts w:eastAsia="仿宋_GB2312"/>
        </w:rPr>
        <w:t>、</w:t>
      </w:r>
      <w:r w:rsidRPr="005C2EE1">
        <w:rPr>
          <w:rFonts w:eastAsia="仿宋_GB2312"/>
        </w:rPr>
        <w:t>ISO 23765—2021</w:t>
      </w:r>
      <w:r w:rsidRPr="005C2EE1">
        <w:rPr>
          <w:rFonts w:eastAsia="仿宋_GB2312"/>
        </w:rPr>
        <w:t>等分别覆盖</w:t>
      </w:r>
      <w:r w:rsidRPr="005C2EE1">
        <w:rPr>
          <w:rFonts w:eastAsia="仿宋_GB2312"/>
        </w:rPr>
        <w:t>BDN</w:t>
      </w:r>
      <w:r w:rsidRPr="005C2EE1">
        <w:rPr>
          <w:rFonts w:eastAsia="仿宋_GB2312"/>
        </w:rPr>
        <w:t>格式、燃料质量、消耗数据收集等局部环节，缺乏覆盖</w:t>
      </w:r>
      <w:r w:rsidRPr="005C2EE1">
        <w:rPr>
          <w:rFonts w:eastAsia="仿宋_GB2312"/>
        </w:rPr>
        <w:t>“</w:t>
      </w:r>
      <w:r w:rsidRPr="005C2EE1">
        <w:rPr>
          <w:rFonts w:eastAsia="仿宋_GB2312"/>
        </w:rPr>
        <w:t>辅助单据分类</w:t>
      </w:r>
      <w:r w:rsidRPr="005C2EE1">
        <w:rPr>
          <w:rFonts w:eastAsia="仿宋_GB2312"/>
        </w:rPr>
        <w:t>—</w:t>
      </w:r>
      <w:r w:rsidRPr="005C2EE1">
        <w:rPr>
          <w:rFonts w:eastAsia="仿宋_GB2312"/>
        </w:rPr>
        <w:t>主单关联</w:t>
      </w:r>
      <w:r w:rsidRPr="005C2EE1">
        <w:rPr>
          <w:rFonts w:eastAsia="仿宋_GB2312"/>
        </w:rPr>
        <w:t>—</w:t>
      </w:r>
      <w:r w:rsidRPr="005C2EE1">
        <w:rPr>
          <w:rFonts w:eastAsia="仿宋_GB2312"/>
        </w:rPr>
        <w:t>成套性</w:t>
      </w:r>
      <w:r w:rsidRPr="005C2EE1">
        <w:rPr>
          <w:rFonts w:eastAsia="仿宋_GB2312"/>
        </w:rPr>
        <w:t>—</w:t>
      </w:r>
      <w:r w:rsidRPr="005C2EE1">
        <w:rPr>
          <w:rFonts w:eastAsia="仿宋_GB2312"/>
        </w:rPr>
        <w:t>一致性</w:t>
      </w:r>
      <w:r w:rsidRPr="005C2EE1">
        <w:rPr>
          <w:rFonts w:eastAsia="仿宋_GB2312"/>
        </w:rPr>
        <w:t>—</w:t>
      </w:r>
      <w:r w:rsidRPr="005C2EE1">
        <w:rPr>
          <w:rFonts w:eastAsia="仿宋_GB2312"/>
        </w:rPr>
        <w:t>归档管理</w:t>
      </w:r>
      <w:r w:rsidRPr="005C2EE1">
        <w:rPr>
          <w:rFonts w:eastAsia="仿宋_GB2312"/>
        </w:rPr>
        <w:t>”</w:t>
      </w:r>
      <w:r w:rsidRPr="005C2EE1">
        <w:rPr>
          <w:rFonts w:eastAsia="仿宋_GB2312"/>
        </w:rPr>
        <w:t>的通用体系；二是我国船用燃料供应在</w:t>
      </w:r>
      <w:proofErr w:type="gramStart"/>
      <w:r w:rsidRPr="005C2EE1">
        <w:rPr>
          <w:rFonts w:eastAsia="仿宋_GB2312"/>
        </w:rPr>
        <w:t>保税油跨关区</w:t>
      </w:r>
      <w:proofErr w:type="gramEnd"/>
      <w:r w:rsidRPr="005C2EE1">
        <w:rPr>
          <w:rFonts w:eastAsia="仿宋_GB2312"/>
        </w:rPr>
        <w:t>直供、海关物料申报、保税核注、出口报关等方面具有自身制度特点，直接等同采用国际标准难以适配国内监管与业务实际；三是我国船用燃料供应电子单证实践发展迅速，亟需构建自主可控、科学适用的辅助单据基本信息规范体系，规范行业发展、保障产业安全，并提升我国在船舶燃料供应数字化标准领域的规则话语权。因此，本文件以国内法规和业务实际为基础，合理借鉴国际通行规则，形成具有自主技术特征的辅助单据基本信息要求</w:t>
      </w:r>
      <w:r>
        <w:rPr>
          <w:rFonts w:eastAsia="仿宋_GB2312" w:hint="eastAsia"/>
        </w:rPr>
        <w:t>。</w:t>
      </w:r>
    </w:p>
    <w:p w14:paraId="0987832D" w14:textId="77777777" w:rsidR="00B84ABE" w:rsidRDefault="00000000">
      <w:pPr>
        <w:pStyle w:val="1"/>
        <w:adjustRightInd w:val="0"/>
        <w:snapToGrid w:val="0"/>
        <w:spacing w:beforeLines="50" w:before="156" w:afterLines="50" w:after="156" w:line="360" w:lineRule="auto"/>
        <w:ind w:firstLineChars="0" w:firstLine="0"/>
        <w:rPr>
          <w:rFonts w:eastAsia="黑体"/>
        </w:rPr>
      </w:pPr>
      <w:bookmarkStart w:id="66" w:name="_Toc215734355"/>
      <w:bookmarkStart w:id="67" w:name="_Toc11611"/>
      <w:bookmarkStart w:id="68" w:name="_Toc22300"/>
      <w:bookmarkStart w:id="69" w:name="_Toc32305"/>
      <w:bookmarkStart w:id="70" w:name="_Toc29245"/>
      <w:bookmarkStart w:id="71" w:name="_Toc15393"/>
      <w:bookmarkStart w:id="72" w:name="_Toc5513"/>
      <w:bookmarkEnd w:id="65"/>
      <w:r>
        <w:rPr>
          <w:rFonts w:eastAsia="黑体" w:hint="eastAsia"/>
        </w:rPr>
        <w:t>六、与有关法律、行政法规及相关标准的关系</w:t>
      </w:r>
      <w:bookmarkEnd w:id="66"/>
      <w:bookmarkEnd w:id="67"/>
      <w:bookmarkEnd w:id="68"/>
      <w:bookmarkEnd w:id="69"/>
      <w:bookmarkEnd w:id="70"/>
      <w:bookmarkEnd w:id="71"/>
      <w:bookmarkEnd w:id="72"/>
    </w:p>
    <w:p w14:paraId="0014F082" w14:textId="01E2E34E" w:rsidR="005C2EE1" w:rsidRPr="005C2EE1" w:rsidRDefault="005C2EE1" w:rsidP="005C2EE1">
      <w:pPr>
        <w:adjustRightInd w:val="0"/>
        <w:snapToGrid w:val="0"/>
        <w:rPr>
          <w:rFonts w:eastAsia="仿宋_GB2312"/>
        </w:rPr>
      </w:pPr>
      <w:r w:rsidRPr="005C2EE1">
        <w:rPr>
          <w:rFonts w:eastAsia="仿宋_GB2312" w:hint="eastAsia"/>
        </w:rPr>
        <w:t>本文件紧密契合我国绿色发展与数字经济理念，在法律衔接、标准协调与领域补充方面形成完整逻辑体系。在法律衔接层面，本文件关于电子签署、单证存证的规定遵循《中华人民共和国电子签名法》关于可靠电子签名的要求，关于数据安全、平台安全的要求遵循《中华人民共和国网络安全法》《中华人民共和国数据安全法》，关于主单与辅助单据内容、海关单证、保税核注、出口报关及物料起卸</w:t>
      </w:r>
      <w:r w:rsidRPr="005C2EE1">
        <w:rPr>
          <w:rFonts w:eastAsia="仿宋_GB2312" w:hint="eastAsia"/>
        </w:rPr>
        <w:t>/</w:t>
      </w:r>
      <w:r w:rsidRPr="005C2EE1">
        <w:rPr>
          <w:rFonts w:eastAsia="仿宋_GB2312" w:hint="eastAsia"/>
        </w:rPr>
        <w:t>添加等要求，衔接《中华人民共和国海关法》《中</w:t>
      </w:r>
      <w:r w:rsidRPr="005C2EE1">
        <w:rPr>
          <w:rFonts w:eastAsia="仿宋_GB2312" w:hint="eastAsia"/>
        </w:rPr>
        <w:lastRenderedPageBreak/>
        <w:t>华人民共和国海关进出境运输工具监管办法》《中华人民共和国海关运输工具起卸</w:t>
      </w:r>
      <w:r w:rsidRPr="005C2EE1">
        <w:rPr>
          <w:rFonts w:eastAsia="仿宋_GB2312" w:hint="eastAsia"/>
        </w:rPr>
        <w:t>/</w:t>
      </w:r>
      <w:r w:rsidRPr="005C2EE1">
        <w:rPr>
          <w:rFonts w:eastAsia="仿宋_GB2312" w:hint="eastAsia"/>
        </w:rPr>
        <w:t>添加物料申报单》及保税油监管相关规定，并与《中华人民共和国船舶及其有关作业活动污染海洋环境防治管理规定》相协调。</w:t>
      </w:r>
    </w:p>
    <w:p w14:paraId="5335C696" w14:textId="77777777" w:rsidR="005C2EE1" w:rsidRPr="005C2EE1" w:rsidRDefault="005C2EE1" w:rsidP="005C2EE1">
      <w:pPr>
        <w:adjustRightInd w:val="0"/>
        <w:snapToGrid w:val="0"/>
        <w:rPr>
          <w:rFonts w:eastAsia="仿宋_GB2312"/>
        </w:rPr>
      </w:pPr>
      <w:r w:rsidRPr="005C2EE1">
        <w:rPr>
          <w:rFonts w:eastAsia="仿宋_GB2312" w:hint="eastAsia"/>
        </w:rPr>
        <w:t>在相关标准协调与针对性补充层面，本文件与现行国家及国际相关标准保持高度一致性，核心参考依据包括：</w:t>
      </w:r>
    </w:p>
    <w:p w14:paraId="51105AFB" w14:textId="77777777" w:rsidR="005C2EE1" w:rsidRPr="005C2EE1" w:rsidRDefault="005C2EE1" w:rsidP="005C2EE1">
      <w:pPr>
        <w:adjustRightInd w:val="0"/>
        <w:snapToGrid w:val="0"/>
        <w:rPr>
          <w:rFonts w:eastAsia="仿宋_GB2312"/>
        </w:rPr>
      </w:pPr>
      <w:r w:rsidRPr="005C2EE1">
        <w:rPr>
          <w:rFonts w:eastAsia="仿宋_GB2312" w:hint="eastAsia"/>
        </w:rPr>
        <w:t>1</w:t>
      </w:r>
      <w:r w:rsidRPr="005C2EE1">
        <w:rPr>
          <w:rFonts w:eastAsia="仿宋_GB2312" w:hint="eastAsia"/>
        </w:rPr>
        <w:t>）</w:t>
      </w:r>
      <w:r w:rsidRPr="005C2EE1">
        <w:rPr>
          <w:rFonts w:eastAsia="仿宋_GB2312" w:hint="eastAsia"/>
        </w:rPr>
        <w:t>GB/T 25346</w:t>
      </w:r>
      <w:r w:rsidRPr="005C2EE1">
        <w:rPr>
          <w:rFonts w:eastAsia="仿宋_GB2312" w:hint="eastAsia"/>
        </w:rPr>
        <w:t>—</w:t>
      </w:r>
      <w:r w:rsidRPr="005C2EE1">
        <w:rPr>
          <w:rFonts w:eastAsia="仿宋_GB2312" w:hint="eastAsia"/>
        </w:rPr>
        <w:t>2020</w:t>
      </w:r>
      <w:r w:rsidRPr="005C2EE1">
        <w:rPr>
          <w:rFonts w:eastAsia="仿宋_GB2312" w:hint="eastAsia"/>
        </w:rPr>
        <w:t>《船舶供受燃油规程》；</w:t>
      </w:r>
    </w:p>
    <w:p w14:paraId="7B7F3E00" w14:textId="77777777" w:rsidR="005C2EE1" w:rsidRPr="005C2EE1" w:rsidRDefault="005C2EE1" w:rsidP="005C2EE1">
      <w:pPr>
        <w:adjustRightInd w:val="0"/>
        <w:snapToGrid w:val="0"/>
        <w:rPr>
          <w:rFonts w:eastAsia="仿宋_GB2312"/>
        </w:rPr>
      </w:pPr>
      <w:r w:rsidRPr="005C2EE1">
        <w:rPr>
          <w:rFonts w:eastAsia="仿宋_GB2312" w:hint="eastAsia"/>
        </w:rPr>
        <w:t>2</w:t>
      </w:r>
      <w:r w:rsidRPr="005C2EE1">
        <w:rPr>
          <w:rFonts w:eastAsia="仿宋_GB2312" w:hint="eastAsia"/>
        </w:rPr>
        <w:t>）</w:t>
      </w:r>
      <w:r w:rsidRPr="005C2EE1">
        <w:rPr>
          <w:rFonts w:eastAsia="仿宋_GB2312" w:hint="eastAsia"/>
        </w:rPr>
        <w:t>GB/T 45487</w:t>
      </w:r>
      <w:r w:rsidRPr="005C2EE1">
        <w:rPr>
          <w:rFonts w:eastAsia="仿宋_GB2312" w:hint="eastAsia"/>
        </w:rPr>
        <w:t>—</w:t>
      </w:r>
      <w:r w:rsidRPr="005C2EE1">
        <w:rPr>
          <w:rFonts w:eastAsia="仿宋_GB2312" w:hint="eastAsia"/>
        </w:rPr>
        <w:t>2025</w:t>
      </w:r>
      <w:r w:rsidRPr="005C2EE1">
        <w:rPr>
          <w:rFonts w:eastAsia="仿宋_GB2312" w:hint="eastAsia"/>
        </w:rPr>
        <w:t>《船舶与海上技术</w:t>
      </w:r>
      <w:r w:rsidRPr="005C2EE1">
        <w:rPr>
          <w:rFonts w:eastAsia="仿宋_GB2312" w:hint="eastAsia"/>
        </w:rPr>
        <w:t xml:space="preserve"> </w:t>
      </w:r>
      <w:r w:rsidRPr="005C2EE1">
        <w:rPr>
          <w:rFonts w:eastAsia="仿宋_GB2312" w:hint="eastAsia"/>
        </w:rPr>
        <w:t>海上环境保护</w:t>
      </w:r>
      <w:r w:rsidRPr="005C2EE1">
        <w:rPr>
          <w:rFonts w:eastAsia="仿宋_GB2312" w:hint="eastAsia"/>
        </w:rPr>
        <w:t xml:space="preserve"> </w:t>
      </w:r>
      <w:r w:rsidRPr="005C2EE1">
        <w:rPr>
          <w:rFonts w:eastAsia="仿宋_GB2312" w:hint="eastAsia"/>
        </w:rPr>
        <w:t>船舶燃油消耗数据收集规范》；</w:t>
      </w:r>
    </w:p>
    <w:p w14:paraId="5B7A78A4" w14:textId="0A014DC4" w:rsidR="005C2EE1" w:rsidRPr="005C2EE1" w:rsidRDefault="005C2EE1" w:rsidP="005C2EE1">
      <w:pPr>
        <w:adjustRightInd w:val="0"/>
        <w:snapToGrid w:val="0"/>
        <w:rPr>
          <w:rFonts w:eastAsia="仿宋_GB2312"/>
        </w:rPr>
      </w:pPr>
      <w:r w:rsidRPr="005C2EE1">
        <w:rPr>
          <w:rFonts w:eastAsia="仿宋_GB2312" w:hint="eastAsia"/>
        </w:rPr>
        <w:t>3</w:t>
      </w:r>
      <w:r w:rsidRPr="005C2EE1">
        <w:rPr>
          <w:rFonts w:eastAsia="仿宋_GB2312" w:hint="eastAsia"/>
        </w:rPr>
        <w:t>）</w:t>
      </w:r>
      <w:r w:rsidRPr="005C2EE1">
        <w:rPr>
          <w:rFonts w:eastAsia="仿宋_GB2312" w:hint="eastAsia"/>
        </w:rPr>
        <w:t>ISO 8217</w:t>
      </w:r>
      <w:r w:rsidRPr="005C2EE1">
        <w:rPr>
          <w:rFonts w:eastAsia="仿宋_GB2312" w:hint="eastAsia"/>
        </w:rPr>
        <w:t>《</w:t>
      </w:r>
      <w:r w:rsidR="009C14D6" w:rsidRPr="009C14D6">
        <w:rPr>
          <w:rFonts w:eastAsia="仿宋_GB2312"/>
        </w:rPr>
        <w:t>石油、合成和可再生能源产品燃料（</w:t>
      </w:r>
      <w:r w:rsidR="009C14D6" w:rsidRPr="009C14D6">
        <w:rPr>
          <w:rFonts w:eastAsia="仿宋_GB2312"/>
        </w:rPr>
        <w:t>F</w:t>
      </w:r>
      <w:r w:rsidR="009C14D6" w:rsidRPr="009C14D6">
        <w:rPr>
          <w:rFonts w:eastAsia="仿宋_GB2312"/>
        </w:rPr>
        <w:t>类）船用燃料规范</w:t>
      </w:r>
      <w:r w:rsidRPr="005C2EE1">
        <w:rPr>
          <w:rFonts w:eastAsia="仿宋_GB2312" w:hint="eastAsia"/>
        </w:rPr>
        <w:t>》；</w:t>
      </w:r>
    </w:p>
    <w:p w14:paraId="04730220" w14:textId="77777777" w:rsidR="005C2EE1" w:rsidRPr="005C2EE1" w:rsidRDefault="005C2EE1" w:rsidP="005C2EE1">
      <w:pPr>
        <w:adjustRightInd w:val="0"/>
        <w:snapToGrid w:val="0"/>
        <w:rPr>
          <w:rFonts w:eastAsia="仿宋_GB2312"/>
        </w:rPr>
      </w:pPr>
      <w:r w:rsidRPr="005C2EE1">
        <w:rPr>
          <w:rFonts w:eastAsia="仿宋_GB2312" w:hint="eastAsia"/>
        </w:rPr>
        <w:t>4</w:t>
      </w:r>
      <w:r w:rsidRPr="005C2EE1">
        <w:rPr>
          <w:rFonts w:eastAsia="仿宋_GB2312" w:hint="eastAsia"/>
        </w:rPr>
        <w:t>）</w:t>
      </w:r>
      <w:r w:rsidRPr="005C2EE1">
        <w:rPr>
          <w:rFonts w:eastAsia="仿宋_GB2312" w:hint="eastAsia"/>
        </w:rPr>
        <w:t>T/XXXXXXXX</w:t>
      </w:r>
      <w:r w:rsidRPr="005C2EE1">
        <w:rPr>
          <w:rFonts w:eastAsia="仿宋_GB2312" w:hint="eastAsia"/>
        </w:rPr>
        <w:t>—</w:t>
      </w:r>
      <w:r w:rsidRPr="005C2EE1">
        <w:rPr>
          <w:rFonts w:eastAsia="仿宋_GB2312" w:hint="eastAsia"/>
        </w:rPr>
        <w:t>2026</w:t>
      </w:r>
      <w:r w:rsidRPr="005C2EE1">
        <w:rPr>
          <w:rFonts w:eastAsia="仿宋_GB2312" w:hint="eastAsia"/>
        </w:rPr>
        <w:t>《船用燃料供应电子单证技术规范</w:t>
      </w:r>
      <w:r w:rsidRPr="005C2EE1">
        <w:rPr>
          <w:rFonts w:eastAsia="仿宋_GB2312" w:hint="eastAsia"/>
        </w:rPr>
        <w:t xml:space="preserve"> </w:t>
      </w:r>
      <w:r w:rsidRPr="005C2EE1">
        <w:rPr>
          <w:rFonts w:eastAsia="仿宋_GB2312" w:hint="eastAsia"/>
        </w:rPr>
        <w:t>第</w:t>
      </w:r>
      <w:r w:rsidRPr="005C2EE1">
        <w:rPr>
          <w:rFonts w:eastAsia="仿宋_GB2312" w:hint="eastAsia"/>
        </w:rPr>
        <w:t>1</w:t>
      </w:r>
      <w:r w:rsidRPr="005C2EE1">
        <w:rPr>
          <w:rFonts w:eastAsia="仿宋_GB2312" w:hint="eastAsia"/>
        </w:rPr>
        <w:t>部分：通用要求》；</w:t>
      </w:r>
    </w:p>
    <w:p w14:paraId="6CDE99B2" w14:textId="5BB14839" w:rsidR="005C2EE1" w:rsidRPr="005C2EE1" w:rsidRDefault="005C2EE1" w:rsidP="005C2EE1">
      <w:pPr>
        <w:adjustRightInd w:val="0"/>
        <w:snapToGrid w:val="0"/>
        <w:rPr>
          <w:rFonts w:eastAsia="仿宋_GB2312"/>
        </w:rPr>
      </w:pPr>
      <w:r w:rsidRPr="005C2EE1">
        <w:rPr>
          <w:rFonts w:eastAsia="仿宋_GB2312" w:hint="eastAsia"/>
        </w:rPr>
        <w:t>5</w:t>
      </w:r>
      <w:r w:rsidRPr="005C2EE1">
        <w:rPr>
          <w:rFonts w:eastAsia="仿宋_GB2312" w:hint="eastAsia"/>
        </w:rPr>
        <w:t>）</w:t>
      </w:r>
      <w:r w:rsidRPr="005C2EE1">
        <w:rPr>
          <w:rFonts w:eastAsia="仿宋_GB2312" w:hint="eastAsia"/>
        </w:rPr>
        <w:t>T/XXXXXXXX</w:t>
      </w:r>
      <w:r w:rsidRPr="005C2EE1">
        <w:rPr>
          <w:rFonts w:eastAsia="仿宋_GB2312" w:hint="eastAsia"/>
        </w:rPr>
        <w:t>—</w:t>
      </w:r>
      <w:r w:rsidRPr="005C2EE1">
        <w:rPr>
          <w:rFonts w:eastAsia="仿宋_GB2312" w:hint="eastAsia"/>
        </w:rPr>
        <w:t>2026</w:t>
      </w:r>
      <w:r w:rsidRPr="005C2EE1">
        <w:rPr>
          <w:rFonts w:eastAsia="仿宋_GB2312" w:hint="eastAsia"/>
        </w:rPr>
        <w:t>《船用燃料供应电子单证技术规范</w:t>
      </w:r>
      <w:r w:rsidRPr="005C2EE1">
        <w:rPr>
          <w:rFonts w:eastAsia="仿宋_GB2312" w:hint="eastAsia"/>
        </w:rPr>
        <w:t xml:space="preserve"> </w:t>
      </w:r>
      <w:r w:rsidRPr="005C2EE1">
        <w:rPr>
          <w:rFonts w:eastAsia="仿宋_GB2312" w:hint="eastAsia"/>
        </w:rPr>
        <w:t>第</w:t>
      </w:r>
      <w:r w:rsidRPr="005C2EE1">
        <w:rPr>
          <w:rFonts w:eastAsia="仿宋_GB2312" w:hint="eastAsia"/>
        </w:rPr>
        <w:t>2</w:t>
      </w:r>
      <w:r w:rsidRPr="005C2EE1">
        <w:rPr>
          <w:rFonts w:eastAsia="仿宋_GB2312" w:hint="eastAsia"/>
        </w:rPr>
        <w:t>部分：信息平台与数据接口要求》。</w:t>
      </w:r>
    </w:p>
    <w:p w14:paraId="7F5E574C" w14:textId="47AC627B" w:rsidR="00B84ABE" w:rsidRDefault="005C2EE1" w:rsidP="005C2EE1">
      <w:pPr>
        <w:adjustRightInd w:val="0"/>
        <w:snapToGrid w:val="0"/>
        <w:rPr>
          <w:rFonts w:eastAsia="仿宋_GB2312"/>
        </w:rPr>
      </w:pPr>
      <w:r w:rsidRPr="005C2EE1">
        <w:rPr>
          <w:rFonts w:eastAsia="仿宋_GB2312" w:hint="eastAsia"/>
        </w:rPr>
        <w:t>本文件与现行法律、法规和强制性国家标准无冲突，与相关其他现行同类标准无冲突；在对标国际、国内相关标准的基础上，立足我国船用燃料供应业务与监管实际进行优化完善，与现有标准互为补充、协同配套，共同构成船用燃料供应电子单证标准体系</w:t>
      </w:r>
      <w:r>
        <w:rPr>
          <w:rFonts w:eastAsia="仿宋_GB2312" w:hint="eastAsia"/>
        </w:rPr>
        <w:t>。</w:t>
      </w:r>
    </w:p>
    <w:p w14:paraId="6148051B" w14:textId="77777777" w:rsidR="00B84ABE" w:rsidRDefault="00000000">
      <w:pPr>
        <w:pStyle w:val="1"/>
        <w:adjustRightInd w:val="0"/>
        <w:snapToGrid w:val="0"/>
        <w:spacing w:beforeLines="50" w:before="156" w:afterLines="50" w:after="156" w:line="360" w:lineRule="auto"/>
        <w:ind w:firstLineChars="0" w:firstLine="0"/>
        <w:rPr>
          <w:rFonts w:eastAsia="黑体"/>
        </w:rPr>
      </w:pPr>
      <w:bookmarkStart w:id="73" w:name="_Toc31818"/>
      <w:bookmarkStart w:id="74" w:name="_Toc215734356"/>
      <w:bookmarkStart w:id="75" w:name="_Toc14082"/>
      <w:bookmarkStart w:id="76" w:name="_Toc18178"/>
      <w:bookmarkStart w:id="77" w:name="_Toc9514"/>
      <w:bookmarkStart w:id="78" w:name="_Toc14092"/>
      <w:bookmarkStart w:id="79" w:name="_Toc28060"/>
      <w:r>
        <w:rPr>
          <w:rFonts w:eastAsia="黑体" w:hint="eastAsia"/>
        </w:rPr>
        <w:t>七、重大分歧意见的处理经过和依据</w:t>
      </w:r>
      <w:bookmarkEnd w:id="73"/>
      <w:bookmarkEnd w:id="74"/>
      <w:bookmarkEnd w:id="75"/>
      <w:bookmarkEnd w:id="76"/>
      <w:bookmarkEnd w:id="77"/>
      <w:bookmarkEnd w:id="78"/>
      <w:bookmarkEnd w:id="79"/>
    </w:p>
    <w:p w14:paraId="22F8B873" w14:textId="77777777" w:rsidR="00B84ABE" w:rsidRDefault="00000000">
      <w:pPr>
        <w:adjustRightInd w:val="0"/>
        <w:snapToGrid w:val="0"/>
        <w:rPr>
          <w:rFonts w:eastAsia="仿宋_GB2312"/>
        </w:rPr>
      </w:pPr>
      <w:r>
        <w:rPr>
          <w:rFonts w:eastAsia="仿宋_GB2312" w:hint="eastAsia"/>
        </w:rPr>
        <w:t>无重大分歧。</w:t>
      </w:r>
    </w:p>
    <w:p w14:paraId="3AC8CCE0" w14:textId="77777777" w:rsidR="00B84ABE" w:rsidRDefault="00000000">
      <w:pPr>
        <w:pStyle w:val="1"/>
        <w:adjustRightInd w:val="0"/>
        <w:snapToGrid w:val="0"/>
        <w:spacing w:beforeLines="50" w:before="156" w:afterLines="50" w:after="156" w:line="360" w:lineRule="auto"/>
        <w:ind w:firstLineChars="0" w:firstLine="0"/>
        <w:rPr>
          <w:rFonts w:eastAsia="黑体"/>
        </w:rPr>
      </w:pPr>
      <w:bookmarkStart w:id="80" w:name="_Toc28275"/>
      <w:bookmarkStart w:id="81" w:name="_Toc11533"/>
      <w:bookmarkStart w:id="82" w:name="_Toc215734357"/>
      <w:bookmarkStart w:id="83" w:name="_Toc18890"/>
      <w:bookmarkStart w:id="84" w:name="_Toc25073"/>
      <w:bookmarkStart w:id="85" w:name="_Toc24243"/>
      <w:bookmarkStart w:id="86" w:name="_Toc3371"/>
      <w:r>
        <w:rPr>
          <w:rFonts w:eastAsia="黑体" w:hint="eastAsia"/>
        </w:rPr>
        <w:lastRenderedPageBreak/>
        <w:t>八、涉及专利的有关说明</w:t>
      </w:r>
      <w:bookmarkEnd w:id="80"/>
      <w:bookmarkEnd w:id="81"/>
      <w:bookmarkEnd w:id="82"/>
      <w:bookmarkEnd w:id="83"/>
      <w:bookmarkEnd w:id="84"/>
      <w:bookmarkEnd w:id="85"/>
      <w:bookmarkEnd w:id="86"/>
      <w:r>
        <w:rPr>
          <w:rFonts w:eastAsia="黑体" w:hint="eastAsia"/>
        </w:rPr>
        <w:t xml:space="preserve"> </w:t>
      </w:r>
    </w:p>
    <w:p w14:paraId="44687096" w14:textId="77777777" w:rsidR="00B84ABE" w:rsidRDefault="00000000">
      <w:pPr>
        <w:adjustRightInd w:val="0"/>
        <w:snapToGrid w:val="0"/>
        <w:rPr>
          <w:rFonts w:eastAsia="仿宋_GB2312"/>
        </w:rPr>
      </w:pPr>
      <w:r>
        <w:rPr>
          <w:rFonts w:eastAsia="仿宋_GB2312"/>
        </w:rPr>
        <w:t>本文件不涉及必要专利。需要说明的是，本文件的某些内容可能涉及专利，本文件的发布机构不承担识别专利的责任；建议实施者在应用本文件时，就相关技术方案的知识产权状况进行必要评估</w:t>
      </w:r>
      <w:r>
        <w:rPr>
          <w:rFonts w:eastAsia="仿宋_GB2312" w:hint="eastAsia"/>
        </w:rPr>
        <w:t>。</w:t>
      </w:r>
    </w:p>
    <w:p w14:paraId="75B401B5" w14:textId="77777777" w:rsidR="00B84ABE" w:rsidRDefault="00000000">
      <w:pPr>
        <w:pStyle w:val="1"/>
        <w:adjustRightInd w:val="0"/>
        <w:snapToGrid w:val="0"/>
        <w:spacing w:beforeLines="50" w:before="156" w:afterLines="50" w:after="156" w:line="360" w:lineRule="auto"/>
        <w:ind w:firstLineChars="0" w:firstLine="0"/>
        <w:rPr>
          <w:rFonts w:eastAsia="黑体"/>
        </w:rPr>
      </w:pPr>
      <w:bookmarkStart w:id="87" w:name="_Toc12563"/>
      <w:bookmarkStart w:id="88" w:name="_Toc10216"/>
      <w:bookmarkStart w:id="89" w:name="_Toc215734358"/>
      <w:bookmarkStart w:id="90" w:name="_Toc8594"/>
      <w:bookmarkStart w:id="91" w:name="_Toc24836"/>
      <w:bookmarkStart w:id="92" w:name="_Toc17974"/>
      <w:bookmarkStart w:id="93" w:name="_Toc23979"/>
      <w:r>
        <w:rPr>
          <w:rFonts w:eastAsia="黑体" w:hint="eastAsia"/>
        </w:rPr>
        <w:t>九、实施标准的要求，以及组织措施、技术措施、过渡期和实施日期的建议等措施建议</w:t>
      </w:r>
      <w:bookmarkEnd w:id="87"/>
      <w:bookmarkEnd w:id="88"/>
      <w:bookmarkEnd w:id="89"/>
      <w:bookmarkEnd w:id="90"/>
      <w:bookmarkEnd w:id="91"/>
      <w:bookmarkEnd w:id="92"/>
      <w:bookmarkEnd w:id="93"/>
    </w:p>
    <w:p w14:paraId="508AC308" w14:textId="3B4AEC6A" w:rsidR="007313F3" w:rsidRPr="007313F3" w:rsidRDefault="007313F3" w:rsidP="007313F3">
      <w:pPr>
        <w:adjustRightInd w:val="0"/>
        <w:snapToGrid w:val="0"/>
        <w:rPr>
          <w:rFonts w:eastAsia="仿宋_GB2312"/>
        </w:rPr>
      </w:pPr>
      <w:r w:rsidRPr="007313F3">
        <w:rPr>
          <w:rFonts w:eastAsia="仿宋_GB2312" w:hint="eastAsia"/>
        </w:rPr>
        <w:t>（一）建议建立健全标准实施监督机制，由归口单位牵头，联合行业主管部门、燃料供应企业、航运企业、检验认证机构、信息平台运营方及海关海事相关单位，通过试点应用强化标准对船用燃料供应电子辅助单据活动的管控引导，推动标准要求与行业数字化、绿色化转型目标深度衔接，确保标准落地实效。</w:t>
      </w:r>
    </w:p>
    <w:p w14:paraId="31D33E1A" w14:textId="77777777" w:rsidR="007313F3" w:rsidRPr="007313F3" w:rsidRDefault="007313F3" w:rsidP="007313F3">
      <w:pPr>
        <w:adjustRightInd w:val="0"/>
        <w:snapToGrid w:val="0"/>
        <w:rPr>
          <w:rFonts w:eastAsia="仿宋_GB2312"/>
        </w:rPr>
      </w:pPr>
      <w:r w:rsidRPr="007313F3">
        <w:rPr>
          <w:rFonts w:eastAsia="仿宋_GB2312" w:hint="eastAsia"/>
        </w:rPr>
        <w:t>（二）设立常态化标准反馈渠道，通过线上反馈平台、专项调研、企业座谈会等形式，系统收集燃料供应企业、航运企业、检验机构、信息化平台运营方等标准使用单位在实施过程中遇到的技术难题、场景适配问题及优化建议；在此基础上，定期开展标准实施效果评估，结合产业发展、技术迭代、监管政策调整等新需求，适时启动标准修订工作，持续保障标准的科学性、实用性与时效性。</w:t>
      </w:r>
    </w:p>
    <w:p w14:paraId="60B6A208" w14:textId="34F18285" w:rsidR="00B84ABE" w:rsidRDefault="007313F3" w:rsidP="007313F3">
      <w:pPr>
        <w:adjustRightInd w:val="0"/>
        <w:snapToGrid w:val="0"/>
        <w:rPr>
          <w:rFonts w:eastAsia="仿宋_GB2312" w:cs="仿宋_GB2312"/>
        </w:rPr>
      </w:pPr>
      <w:r w:rsidRPr="007313F3">
        <w:rPr>
          <w:rFonts w:eastAsia="仿宋_GB2312" w:hint="eastAsia"/>
        </w:rPr>
        <w:t>（三）建议给予本文件发布后</w:t>
      </w:r>
      <w:r w:rsidRPr="007313F3">
        <w:rPr>
          <w:rFonts w:eastAsia="仿宋_GB2312" w:hint="eastAsia"/>
        </w:rPr>
        <w:t>3</w:t>
      </w:r>
      <w:r w:rsidRPr="007313F3">
        <w:rPr>
          <w:rFonts w:eastAsia="仿宋_GB2312" w:hint="eastAsia"/>
        </w:rPr>
        <w:t>～</w:t>
      </w:r>
      <w:r w:rsidRPr="007313F3">
        <w:rPr>
          <w:rFonts w:eastAsia="仿宋_GB2312" w:hint="eastAsia"/>
        </w:rPr>
        <w:t>6</w:t>
      </w:r>
      <w:r w:rsidRPr="007313F3">
        <w:rPr>
          <w:rFonts w:eastAsia="仿宋_GB2312" w:hint="eastAsia"/>
        </w:rPr>
        <w:t>个月的过渡期，以</w:t>
      </w:r>
      <w:r w:rsidRPr="007313F3">
        <w:rPr>
          <w:rFonts w:eastAsia="仿宋_GB2312" w:hint="eastAsia"/>
        </w:rPr>
        <w:lastRenderedPageBreak/>
        <w:t>便相关主体完成</w:t>
      </w:r>
      <w:r w:rsidRPr="007313F3">
        <w:rPr>
          <w:rFonts w:eastAsia="仿宋_GB2312" w:hint="eastAsia"/>
        </w:rPr>
        <w:t>e-BDN</w:t>
      </w:r>
      <w:r w:rsidRPr="007313F3">
        <w:rPr>
          <w:rFonts w:eastAsia="仿宋_GB2312" w:hint="eastAsia"/>
        </w:rPr>
        <w:t>信息平台辅助单据模板改造、字段映射与关联校验、电子签名与存</w:t>
      </w:r>
      <w:proofErr w:type="gramStart"/>
      <w:r w:rsidRPr="007313F3">
        <w:rPr>
          <w:rFonts w:eastAsia="仿宋_GB2312" w:hint="eastAsia"/>
        </w:rPr>
        <w:t>证能力</w:t>
      </w:r>
      <w:proofErr w:type="gramEnd"/>
      <w:r w:rsidRPr="007313F3">
        <w:rPr>
          <w:rFonts w:eastAsia="仿宋_GB2312" w:hint="eastAsia"/>
        </w:rPr>
        <w:t>对接、人员培训及历史单证衔接等前期准备工作，确保团体标准平稳落地</w:t>
      </w:r>
      <w:r>
        <w:rPr>
          <w:rFonts w:eastAsia="仿宋_GB2312" w:cs="仿宋_GB2312" w:hint="eastAsia"/>
        </w:rPr>
        <w:t>。</w:t>
      </w:r>
    </w:p>
    <w:p w14:paraId="59730337" w14:textId="77777777" w:rsidR="00B84ABE" w:rsidRDefault="00000000">
      <w:pPr>
        <w:pStyle w:val="1"/>
        <w:adjustRightInd w:val="0"/>
        <w:snapToGrid w:val="0"/>
        <w:spacing w:beforeLines="50" w:before="156" w:afterLines="50" w:after="156" w:line="360" w:lineRule="auto"/>
        <w:ind w:firstLineChars="0" w:firstLine="0"/>
        <w:rPr>
          <w:rFonts w:eastAsia="黑体"/>
        </w:rPr>
      </w:pPr>
      <w:bookmarkStart w:id="94" w:name="_Toc27398"/>
      <w:bookmarkStart w:id="95" w:name="_Toc16047"/>
      <w:bookmarkStart w:id="96" w:name="_Toc18442"/>
      <w:bookmarkStart w:id="97" w:name="_Toc32433"/>
      <w:bookmarkStart w:id="98" w:name="_Toc3041"/>
      <w:bookmarkStart w:id="99" w:name="_Toc215734359"/>
      <w:bookmarkStart w:id="100" w:name="_Toc7183"/>
      <w:r>
        <w:rPr>
          <w:rFonts w:eastAsia="黑体" w:hint="eastAsia"/>
        </w:rPr>
        <w:t>十、其他应当说明的事项</w:t>
      </w:r>
      <w:bookmarkEnd w:id="94"/>
      <w:bookmarkEnd w:id="95"/>
      <w:bookmarkEnd w:id="96"/>
      <w:bookmarkEnd w:id="97"/>
      <w:bookmarkEnd w:id="98"/>
      <w:bookmarkEnd w:id="99"/>
      <w:bookmarkEnd w:id="100"/>
    </w:p>
    <w:p w14:paraId="2C4F4DEB" w14:textId="7E8F0622" w:rsidR="00B84ABE" w:rsidRDefault="005C2EE1">
      <w:pPr>
        <w:adjustRightInd w:val="0"/>
        <w:snapToGrid w:val="0"/>
        <w:rPr>
          <w:rFonts w:eastAsia="仿宋_GB2312"/>
        </w:rPr>
      </w:pPr>
      <w:r w:rsidRPr="005C2EE1">
        <w:rPr>
          <w:rFonts w:eastAsia="仿宋_GB2312"/>
        </w:rPr>
        <w:t>本文件是《船用燃料供应电子单证技术规范》系列标准的第</w:t>
      </w:r>
      <w:r w:rsidRPr="005C2EE1">
        <w:rPr>
          <w:rFonts w:eastAsia="仿宋_GB2312"/>
        </w:rPr>
        <w:t>3</w:t>
      </w:r>
      <w:r w:rsidRPr="005C2EE1">
        <w:rPr>
          <w:rFonts w:eastAsia="仿宋_GB2312"/>
        </w:rPr>
        <w:t>部分（辅助单据基本信息要求），其实施需要与第</w:t>
      </w:r>
      <w:r w:rsidRPr="005C2EE1">
        <w:rPr>
          <w:rFonts w:eastAsia="仿宋_GB2312"/>
        </w:rPr>
        <w:t>1</w:t>
      </w:r>
      <w:r w:rsidRPr="005C2EE1">
        <w:rPr>
          <w:rFonts w:eastAsia="仿宋_GB2312"/>
        </w:rPr>
        <w:t>部分《通用要求》、第</w:t>
      </w:r>
      <w:r w:rsidRPr="005C2EE1">
        <w:rPr>
          <w:rFonts w:eastAsia="仿宋_GB2312"/>
        </w:rPr>
        <w:t>2</w:t>
      </w:r>
      <w:r w:rsidRPr="005C2EE1">
        <w:rPr>
          <w:rFonts w:eastAsia="仿宋_GB2312"/>
        </w:rPr>
        <w:t>部分《信息平台与数据接口要求》协同配套；主单与辅助单据的具体字段、格式、数据元及接口细节等，以第</w:t>
      </w:r>
      <w:r w:rsidRPr="005C2EE1">
        <w:rPr>
          <w:rFonts w:eastAsia="仿宋_GB2312"/>
        </w:rPr>
        <w:t>1</w:t>
      </w:r>
      <w:r w:rsidRPr="005C2EE1">
        <w:rPr>
          <w:rFonts w:eastAsia="仿宋_GB2312"/>
        </w:rPr>
        <w:t>部分、第</w:t>
      </w:r>
      <w:r w:rsidRPr="005C2EE1">
        <w:rPr>
          <w:rFonts w:eastAsia="仿宋_GB2312"/>
        </w:rPr>
        <w:t>2</w:t>
      </w:r>
      <w:r w:rsidRPr="005C2EE1">
        <w:rPr>
          <w:rFonts w:eastAsia="仿宋_GB2312"/>
        </w:rPr>
        <w:t>部分的规定为准；海关单证格式及申报要求，以海关现行规定为准</w:t>
      </w:r>
      <w:r>
        <w:rPr>
          <w:rFonts w:eastAsia="仿宋_GB2312" w:hint="eastAsia"/>
        </w:rPr>
        <w:t>。</w:t>
      </w:r>
    </w:p>
    <w:sectPr w:rsidR="00B84ABE">
      <w:footerReference w:type="default" r:id="rId17"/>
      <w:pgSz w:w="11906" w:h="16838"/>
      <w:pgMar w:top="1440" w:right="1800" w:bottom="1440" w:left="1800" w:header="851" w:footer="850"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EB1E8" w14:textId="77777777" w:rsidR="003D21EE" w:rsidRDefault="003D21EE">
      <w:pPr>
        <w:spacing w:line="240" w:lineRule="auto"/>
      </w:pPr>
      <w:r>
        <w:separator/>
      </w:r>
    </w:p>
  </w:endnote>
  <w:endnote w:type="continuationSeparator" w:id="0">
    <w:p w14:paraId="7F4C1C49" w14:textId="77777777" w:rsidR="003D21EE" w:rsidRDefault="003D21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18445" w14:textId="77777777" w:rsidR="00B84ABE" w:rsidRDefault="00B84ABE">
    <w:pPr>
      <w:pStyle w:val="ae"/>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AF905" w14:textId="77777777" w:rsidR="00B84ABE" w:rsidRDefault="00B84ABE">
    <w:pPr>
      <w:pStyle w:val="ae"/>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85D11" w14:textId="77777777" w:rsidR="00B84ABE" w:rsidRDefault="00B84ABE">
    <w:pPr>
      <w:pStyle w:val="ae"/>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1671" w14:textId="77777777" w:rsidR="00B84ABE" w:rsidRDefault="00000000">
    <w:pPr>
      <w:pStyle w:val="ae"/>
      <w:ind w:firstLine="360"/>
    </w:pPr>
    <w:r>
      <w:rPr>
        <w:noProof/>
      </w:rPr>
      <mc:AlternateContent>
        <mc:Choice Requires="wps">
          <w:drawing>
            <wp:anchor distT="0" distB="0" distL="114300" distR="114300" simplePos="0" relativeHeight="251659264" behindDoc="0" locked="0" layoutInCell="1" allowOverlap="1" wp14:anchorId="0A4C8041" wp14:editId="33E1025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5F699C" w14:textId="77777777" w:rsidR="00B84ABE" w:rsidRDefault="00000000">
                          <w:pPr>
                            <w:pStyle w:val="ae"/>
                            <w:ind w:firstLine="36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A4C8041"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05F699C" w14:textId="77777777" w:rsidR="00B84ABE" w:rsidRDefault="00000000">
                    <w:pPr>
                      <w:pStyle w:val="ae"/>
                      <w:ind w:firstLine="360"/>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D608E" w14:textId="77777777" w:rsidR="00B84ABE" w:rsidRDefault="00000000">
    <w:pPr>
      <w:pStyle w:val="ae"/>
      <w:ind w:firstLine="360"/>
    </w:pPr>
    <w:r>
      <w:rPr>
        <w:noProof/>
      </w:rPr>
      <mc:AlternateContent>
        <mc:Choice Requires="wps">
          <w:drawing>
            <wp:anchor distT="0" distB="0" distL="114300" distR="114300" simplePos="0" relativeHeight="251660288" behindDoc="0" locked="0" layoutInCell="1" allowOverlap="1" wp14:anchorId="5A22F348" wp14:editId="09DBF5CA">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2A27C7" w14:textId="77777777" w:rsidR="00B84ABE" w:rsidRDefault="00000000">
                          <w:pPr>
                            <w:pStyle w:val="ae"/>
                            <w:ind w:firstLine="36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A22F348"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562A27C7" w14:textId="77777777" w:rsidR="00B84ABE" w:rsidRDefault="00000000">
                    <w:pPr>
                      <w:pStyle w:val="ae"/>
                      <w:ind w:firstLine="360"/>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468031"/>
    </w:sdtPr>
    <w:sdtContent>
      <w:p w14:paraId="5628494C" w14:textId="77777777" w:rsidR="00B84ABE" w:rsidRDefault="00000000">
        <w:pPr>
          <w:pStyle w:val="ae"/>
          <w:ind w:firstLine="360"/>
          <w:jc w:val="center"/>
        </w:pPr>
        <w:r>
          <w:rPr>
            <w:sz w:val="24"/>
            <w:szCs w:val="24"/>
          </w:rPr>
          <w:fldChar w:fldCharType="begin"/>
        </w:r>
        <w:r>
          <w:rPr>
            <w:sz w:val="24"/>
            <w:szCs w:val="24"/>
          </w:rPr>
          <w:instrText>PAGE   \* MERGEFORMAT</w:instrText>
        </w:r>
        <w:r>
          <w:rPr>
            <w:sz w:val="24"/>
            <w:szCs w:val="24"/>
          </w:rPr>
          <w:fldChar w:fldCharType="separate"/>
        </w:r>
        <w:r>
          <w:rPr>
            <w:sz w:val="24"/>
            <w:szCs w:val="24"/>
            <w:lang w:val="zh-CN"/>
          </w:rPr>
          <w:t>2</w:t>
        </w:r>
        <w:r>
          <w:rPr>
            <w:sz w:val="24"/>
            <w:szCs w:val="24"/>
          </w:rPr>
          <w:fldChar w:fldCharType="end"/>
        </w:r>
      </w:p>
    </w:sdtContent>
  </w:sdt>
  <w:p w14:paraId="6290C299" w14:textId="77777777" w:rsidR="00B84ABE" w:rsidRDefault="00B84ABE">
    <w:pPr>
      <w:pStyle w:val="ae"/>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4F63F" w14:textId="77777777" w:rsidR="003D21EE" w:rsidRDefault="003D21EE">
      <w:r>
        <w:separator/>
      </w:r>
    </w:p>
  </w:footnote>
  <w:footnote w:type="continuationSeparator" w:id="0">
    <w:p w14:paraId="6288EC1D" w14:textId="77777777" w:rsidR="003D21EE" w:rsidRDefault="003D21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BB5B6" w14:textId="77777777" w:rsidR="00B84ABE" w:rsidRDefault="00B84ABE">
    <w:pPr>
      <w:pStyle w:val="af0"/>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E29E9" w14:textId="77777777" w:rsidR="00B84ABE" w:rsidRDefault="00B84ABE">
    <w:pPr>
      <w:pStyle w:val="af0"/>
      <w:pBdr>
        <w:bottom w:val="none" w:sz="0" w:space="1"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56EB" w14:textId="77777777" w:rsidR="00B84ABE" w:rsidRDefault="00B84ABE">
    <w:pPr>
      <w:pStyle w:val="af0"/>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lvl w:ilvl="0">
      <w:start w:val="1"/>
      <w:numFmt w:val="decimal"/>
      <w:pStyle w:val="a"/>
      <w:suff w:val="nothing"/>
      <w:lvlText w:val="%1　"/>
      <w:lvlJc w:val="left"/>
      <w:pPr>
        <w:ind w:left="142" w:firstLine="0"/>
      </w:pPr>
      <w:rPr>
        <w:rFonts w:ascii="黑体" w:eastAsia="黑体" w:hAnsi="Times New Roman" w:hint="default"/>
        <w:b w:val="0"/>
        <w:i w:val="0"/>
        <w:sz w:val="32"/>
        <w:szCs w:val="32"/>
      </w:rPr>
    </w:lvl>
    <w:lvl w:ilvl="1">
      <w:start w:val="1"/>
      <w:numFmt w:val="decimal"/>
      <w:pStyle w:val="a0"/>
      <w:suff w:val="nothing"/>
      <w:lvlText w:val="%1.%2　"/>
      <w:lvlJc w:val="left"/>
      <w:pPr>
        <w:ind w:left="992" w:firstLine="0"/>
      </w:pPr>
      <w:rPr>
        <w:rFonts w:ascii="黑体" w:eastAsia="黑体" w:hAnsi="Times New Roman" w:cs="Times New Roman" w:hint="default"/>
        <w:b w:val="0"/>
        <w:bCs w:val="0"/>
        <w:i w:val="0"/>
        <w:iCs w:val="0"/>
        <w:caps w:val="0"/>
        <w:vanish w:val="0"/>
        <w:color w:val="000000"/>
        <w:spacing w:val="0"/>
        <w:kern w:val="0"/>
        <w:position w:val="0"/>
        <w:sz w:val="32"/>
        <w:szCs w:val="32"/>
        <w:u w:val="none"/>
        <w:vertAlign w:val="baseline"/>
        <w14:shadow w14:blurRad="0" w14:dist="0" w14:dir="0" w14:sx="0" w14:sy="0" w14:kx="0" w14:ky="0" w14:algn="none">
          <w14:srgbClr w14:val="000000"/>
        </w14:shadow>
      </w:rPr>
    </w:lvl>
    <w:lvl w:ilvl="2">
      <w:start w:val="1"/>
      <w:numFmt w:val="decimal"/>
      <w:suff w:val="nothing"/>
      <w:lvlText w:val="%1.%2.%3　"/>
      <w:lvlJc w:val="left"/>
      <w:pPr>
        <w:ind w:left="3969" w:firstLine="0"/>
      </w:pPr>
      <w:rPr>
        <w:rFonts w:ascii="黑体" w:eastAsia="黑体" w:hAnsi="Times New Roman" w:hint="default"/>
        <w:b w:val="0"/>
        <w:i w:val="0"/>
        <w:sz w:val="32"/>
        <w:szCs w:val="28"/>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 w15:restartNumberingAfterBreak="0">
    <w:nsid w:val="079102AD"/>
    <w:multiLevelType w:val="multilevel"/>
    <w:tmpl w:val="079102AD"/>
    <w:lvl w:ilvl="0">
      <w:start w:val="1"/>
      <w:numFmt w:val="decimal"/>
      <w:pStyle w:val="a1"/>
      <w:suff w:val="nothing"/>
      <w:lvlText w:val="注%1："/>
      <w:lvlJc w:val="left"/>
      <w:pPr>
        <w:ind w:left="811" w:hanging="448"/>
      </w:pPr>
      <w:rPr>
        <w:rFonts w:ascii="黑体" w:eastAsia="黑体" w:hint="eastAsia"/>
        <w:b w:val="0"/>
        <w:i w:val="0"/>
        <w:sz w:val="18"/>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2" w15:restartNumberingAfterBreak="0">
    <w:nsid w:val="6CEA2025"/>
    <w:multiLevelType w:val="multilevel"/>
    <w:tmpl w:val="6CEA2025"/>
    <w:lvl w:ilvl="0">
      <w:start w:val="1"/>
      <w:numFmt w:val="none"/>
      <w:suff w:val="nothing"/>
      <w:lvlText w:val="%1"/>
      <w:lvlJc w:val="left"/>
      <w:pPr>
        <w:ind w:left="0" w:firstLine="0"/>
      </w:pPr>
      <w:rPr>
        <w:rFonts w:hint="eastAsia"/>
      </w:rPr>
    </w:lvl>
    <w:lvl w:ilvl="1">
      <w:start w:val="1"/>
      <w:numFmt w:val="decimal"/>
      <w:pStyle w:val="a2"/>
      <w:suff w:val="nothing"/>
      <w:lvlText w:val="%1%2　"/>
      <w:lvlJc w:val="left"/>
      <w:pPr>
        <w:ind w:left="0" w:firstLine="0"/>
      </w:pPr>
      <w:rPr>
        <w:rFonts w:ascii="黑体" w:eastAsia="黑体" w:hint="eastAsia"/>
        <w:b w:val="0"/>
        <w:i w:val="0"/>
        <w:sz w:val="21"/>
      </w:rPr>
    </w:lvl>
    <w:lvl w:ilvl="2">
      <w:start w:val="1"/>
      <w:numFmt w:val="decimal"/>
      <w:pStyle w:val="a3"/>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rPr>
    </w:lvl>
    <w:lvl w:ilvl="3">
      <w:start w:val="1"/>
      <w:numFmt w:val="decimal"/>
      <w:pStyle w:val="a4"/>
      <w:suff w:val="nothing"/>
      <w:lvlText w:val="%1%2.%3.%4　"/>
      <w:lvlJc w:val="left"/>
      <w:pPr>
        <w:ind w:left="3685" w:firstLine="0"/>
      </w:pPr>
      <w:rPr>
        <w:rFonts w:ascii="黑体" w:eastAsia="黑体" w:hint="eastAsia"/>
        <w:b w:val="0"/>
        <w:i w:val="0"/>
        <w:sz w:val="21"/>
      </w:rPr>
    </w:lvl>
    <w:lvl w:ilvl="4">
      <w:start w:val="1"/>
      <w:numFmt w:val="decimal"/>
      <w:suff w:val="nothing"/>
      <w:lvlText w:val="%1%2.%3.%4.%5　"/>
      <w:lvlJc w:val="left"/>
      <w:pPr>
        <w:ind w:left="0" w:firstLine="0"/>
      </w:pPr>
      <w:rPr>
        <w:rFonts w:ascii="黑体" w:eastAsia="黑体" w:hint="eastAsia"/>
        <w:b w:val="0"/>
        <w:i w:val="0"/>
        <w:sz w:val="21"/>
      </w:rPr>
    </w:lvl>
    <w:lvl w:ilvl="5">
      <w:start w:val="1"/>
      <w:numFmt w:val="decimal"/>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num w:numId="1" w16cid:durableId="1546528299">
    <w:abstractNumId w:val="2"/>
  </w:num>
  <w:num w:numId="2" w16cid:durableId="1740444225">
    <w:abstractNumId w:val="0"/>
  </w:num>
  <w:num w:numId="3" w16cid:durableId="1493644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UyY2M3NmY3YjY0ZjdmYTlmMzFjOGIxYTFhN2JmNjAifQ=="/>
  </w:docVars>
  <w:rsids>
    <w:rsidRoot w:val="00E1368E"/>
    <w:rsid w:val="00025D05"/>
    <w:rsid w:val="00035D4A"/>
    <w:rsid w:val="00035FDB"/>
    <w:rsid w:val="00042A82"/>
    <w:rsid w:val="0005605C"/>
    <w:rsid w:val="00057F35"/>
    <w:rsid w:val="0007542C"/>
    <w:rsid w:val="000A43F6"/>
    <w:rsid w:val="000B6CB8"/>
    <w:rsid w:val="000C2FF2"/>
    <w:rsid w:val="000C74FD"/>
    <w:rsid w:val="000D1AD7"/>
    <w:rsid w:val="000D6B54"/>
    <w:rsid w:val="000D753D"/>
    <w:rsid w:val="000E3A9F"/>
    <w:rsid w:val="00106FA0"/>
    <w:rsid w:val="00116EE9"/>
    <w:rsid w:val="00120A11"/>
    <w:rsid w:val="001336D5"/>
    <w:rsid w:val="00136A3B"/>
    <w:rsid w:val="00137394"/>
    <w:rsid w:val="00140673"/>
    <w:rsid w:val="00142B43"/>
    <w:rsid w:val="00156410"/>
    <w:rsid w:val="0016430D"/>
    <w:rsid w:val="00184208"/>
    <w:rsid w:val="00192E50"/>
    <w:rsid w:val="001A172F"/>
    <w:rsid w:val="001A5DF3"/>
    <w:rsid w:val="001A7832"/>
    <w:rsid w:val="001B4286"/>
    <w:rsid w:val="001C41B0"/>
    <w:rsid w:val="001E7DC3"/>
    <w:rsid w:val="00216817"/>
    <w:rsid w:val="00217355"/>
    <w:rsid w:val="0022257D"/>
    <w:rsid w:val="002247C0"/>
    <w:rsid w:val="002256B4"/>
    <w:rsid w:val="0024381B"/>
    <w:rsid w:val="00245D47"/>
    <w:rsid w:val="00251EF6"/>
    <w:rsid w:val="00252FE9"/>
    <w:rsid w:val="00253616"/>
    <w:rsid w:val="002602BC"/>
    <w:rsid w:val="00260747"/>
    <w:rsid w:val="002856E3"/>
    <w:rsid w:val="002875E2"/>
    <w:rsid w:val="00291322"/>
    <w:rsid w:val="002A03A9"/>
    <w:rsid w:val="002A357C"/>
    <w:rsid w:val="002D1BE6"/>
    <w:rsid w:val="002D3215"/>
    <w:rsid w:val="002D4AFE"/>
    <w:rsid w:val="002E3106"/>
    <w:rsid w:val="002E4497"/>
    <w:rsid w:val="002F1174"/>
    <w:rsid w:val="002F3970"/>
    <w:rsid w:val="00301109"/>
    <w:rsid w:val="00304D28"/>
    <w:rsid w:val="003267B5"/>
    <w:rsid w:val="00327645"/>
    <w:rsid w:val="00327EA2"/>
    <w:rsid w:val="003412E2"/>
    <w:rsid w:val="00351D24"/>
    <w:rsid w:val="003570B4"/>
    <w:rsid w:val="003860E4"/>
    <w:rsid w:val="003B1300"/>
    <w:rsid w:val="003B5F15"/>
    <w:rsid w:val="003C07F6"/>
    <w:rsid w:val="003C57C6"/>
    <w:rsid w:val="003D21EE"/>
    <w:rsid w:val="003D70FC"/>
    <w:rsid w:val="003E1B54"/>
    <w:rsid w:val="003F3A73"/>
    <w:rsid w:val="003F4FA5"/>
    <w:rsid w:val="003F5358"/>
    <w:rsid w:val="003F64C2"/>
    <w:rsid w:val="00400E2F"/>
    <w:rsid w:val="00407961"/>
    <w:rsid w:val="004107AE"/>
    <w:rsid w:val="00427242"/>
    <w:rsid w:val="004275DA"/>
    <w:rsid w:val="004306A8"/>
    <w:rsid w:val="004405CF"/>
    <w:rsid w:val="00446AD2"/>
    <w:rsid w:val="004502EF"/>
    <w:rsid w:val="00460CCB"/>
    <w:rsid w:val="004625D5"/>
    <w:rsid w:val="004775C2"/>
    <w:rsid w:val="0048647B"/>
    <w:rsid w:val="00490426"/>
    <w:rsid w:val="0049086B"/>
    <w:rsid w:val="0049364B"/>
    <w:rsid w:val="004A066F"/>
    <w:rsid w:val="004A0F6B"/>
    <w:rsid w:val="004A6A1D"/>
    <w:rsid w:val="004B27B9"/>
    <w:rsid w:val="004E0376"/>
    <w:rsid w:val="004E21BC"/>
    <w:rsid w:val="004F3B01"/>
    <w:rsid w:val="004F6D34"/>
    <w:rsid w:val="004F7AAB"/>
    <w:rsid w:val="00517325"/>
    <w:rsid w:val="00534256"/>
    <w:rsid w:val="005369CA"/>
    <w:rsid w:val="00565669"/>
    <w:rsid w:val="00567B1F"/>
    <w:rsid w:val="00580412"/>
    <w:rsid w:val="005963A9"/>
    <w:rsid w:val="005A2676"/>
    <w:rsid w:val="005A3F4B"/>
    <w:rsid w:val="005C2EE1"/>
    <w:rsid w:val="005C6EBC"/>
    <w:rsid w:val="005D288C"/>
    <w:rsid w:val="005D44ED"/>
    <w:rsid w:val="005E504F"/>
    <w:rsid w:val="005F548D"/>
    <w:rsid w:val="006012CB"/>
    <w:rsid w:val="00613162"/>
    <w:rsid w:val="00614CCB"/>
    <w:rsid w:val="0062667C"/>
    <w:rsid w:val="00636589"/>
    <w:rsid w:val="006809AD"/>
    <w:rsid w:val="00687E35"/>
    <w:rsid w:val="006A0498"/>
    <w:rsid w:val="006B4001"/>
    <w:rsid w:val="006B7047"/>
    <w:rsid w:val="006C1ACE"/>
    <w:rsid w:val="006D7E55"/>
    <w:rsid w:val="006D7F7F"/>
    <w:rsid w:val="006E6246"/>
    <w:rsid w:val="00701BF4"/>
    <w:rsid w:val="0070565F"/>
    <w:rsid w:val="00722599"/>
    <w:rsid w:val="00723A68"/>
    <w:rsid w:val="00727113"/>
    <w:rsid w:val="007313F3"/>
    <w:rsid w:val="00745D5F"/>
    <w:rsid w:val="007A140A"/>
    <w:rsid w:val="007B027A"/>
    <w:rsid w:val="007C5826"/>
    <w:rsid w:val="007F1A7D"/>
    <w:rsid w:val="00805DAC"/>
    <w:rsid w:val="00835BA0"/>
    <w:rsid w:val="00836D96"/>
    <w:rsid w:val="008377EE"/>
    <w:rsid w:val="00837A51"/>
    <w:rsid w:val="0084219A"/>
    <w:rsid w:val="0086496E"/>
    <w:rsid w:val="008659E9"/>
    <w:rsid w:val="008777AE"/>
    <w:rsid w:val="008A0E74"/>
    <w:rsid w:val="008B435B"/>
    <w:rsid w:val="008D3D57"/>
    <w:rsid w:val="008E2E06"/>
    <w:rsid w:val="009021E6"/>
    <w:rsid w:val="009127D8"/>
    <w:rsid w:val="00923AA4"/>
    <w:rsid w:val="00947693"/>
    <w:rsid w:val="00951726"/>
    <w:rsid w:val="00956B2A"/>
    <w:rsid w:val="0097563B"/>
    <w:rsid w:val="00986310"/>
    <w:rsid w:val="009906C6"/>
    <w:rsid w:val="009955F6"/>
    <w:rsid w:val="009A0CAD"/>
    <w:rsid w:val="009A1025"/>
    <w:rsid w:val="009B4B2F"/>
    <w:rsid w:val="009C14D6"/>
    <w:rsid w:val="009D0C56"/>
    <w:rsid w:val="009D179B"/>
    <w:rsid w:val="009D35B2"/>
    <w:rsid w:val="009E2A60"/>
    <w:rsid w:val="009E2F35"/>
    <w:rsid w:val="009F2728"/>
    <w:rsid w:val="009F576B"/>
    <w:rsid w:val="00A149FA"/>
    <w:rsid w:val="00A26D5D"/>
    <w:rsid w:val="00A3106F"/>
    <w:rsid w:val="00A3195A"/>
    <w:rsid w:val="00A369CB"/>
    <w:rsid w:val="00A402D9"/>
    <w:rsid w:val="00A75FD4"/>
    <w:rsid w:val="00A777A5"/>
    <w:rsid w:val="00A82AF3"/>
    <w:rsid w:val="00AB5848"/>
    <w:rsid w:val="00AC0892"/>
    <w:rsid w:val="00AC2B48"/>
    <w:rsid w:val="00AE01C1"/>
    <w:rsid w:val="00AE5782"/>
    <w:rsid w:val="00AF03AF"/>
    <w:rsid w:val="00B02CB9"/>
    <w:rsid w:val="00B03F56"/>
    <w:rsid w:val="00B03F64"/>
    <w:rsid w:val="00B04673"/>
    <w:rsid w:val="00B0748E"/>
    <w:rsid w:val="00B1079B"/>
    <w:rsid w:val="00B16C4C"/>
    <w:rsid w:val="00B21DE1"/>
    <w:rsid w:val="00B25F3D"/>
    <w:rsid w:val="00B505FC"/>
    <w:rsid w:val="00B57090"/>
    <w:rsid w:val="00B61089"/>
    <w:rsid w:val="00B84ABE"/>
    <w:rsid w:val="00B96A3D"/>
    <w:rsid w:val="00BA115A"/>
    <w:rsid w:val="00BB2E3D"/>
    <w:rsid w:val="00BD7FDC"/>
    <w:rsid w:val="00BE024D"/>
    <w:rsid w:val="00BE2E75"/>
    <w:rsid w:val="00BE776A"/>
    <w:rsid w:val="00BF020D"/>
    <w:rsid w:val="00BF6844"/>
    <w:rsid w:val="00C20D2B"/>
    <w:rsid w:val="00C426CA"/>
    <w:rsid w:val="00C45AD6"/>
    <w:rsid w:val="00C473BC"/>
    <w:rsid w:val="00C54277"/>
    <w:rsid w:val="00C57473"/>
    <w:rsid w:val="00C73947"/>
    <w:rsid w:val="00C76D43"/>
    <w:rsid w:val="00C824A7"/>
    <w:rsid w:val="00C86C4F"/>
    <w:rsid w:val="00C9003B"/>
    <w:rsid w:val="00C94827"/>
    <w:rsid w:val="00C95120"/>
    <w:rsid w:val="00CA5C81"/>
    <w:rsid w:val="00CB0286"/>
    <w:rsid w:val="00CB3E52"/>
    <w:rsid w:val="00CB6B24"/>
    <w:rsid w:val="00CC212A"/>
    <w:rsid w:val="00CE02E8"/>
    <w:rsid w:val="00CF261C"/>
    <w:rsid w:val="00D05945"/>
    <w:rsid w:val="00D16DC5"/>
    <w:rsid w:val="00D17DFE"/>
    <w:rsid w:val="00D31C22"/>
    <w:rsid w:val="00D3297F"/>
    <w:rsid w:val="00D50458"/>
    <w:rsid w:val="00D515DA"/>
    <w:rsid w:val="00D5176E"/>
    <w:rsid w:val="00D60A9F"/>
    <w:rsid w:val="00D66C30"/>
    <w:rsid w:val="00D74EB3"/>
    <w:rsid w:val="00D82E37"/>
    <w:rsid w:val="00DA1757"/>
    <w:rsid w:val="00DA2216"/>
    <w:rsid w:val="00DB39D3"/>
    <w:rsid w:val="00DE40FC"/>
    <w:rsid w:val="00E000AD"/>
    <w:rsid w:val="00E03562"/>
    <w:rsid w:val="00E06207"/>
    <w:rsid w:val="00E1368E"/>
    <w:rsid w:val="00E33C68"/>
    <w:rsid w:val="00E44945"/>
    <w:rsid w:val="00E45188"/>
    <w:rsid w:val="00E54B0A"/>
    <w:rsid w:val="00E57F32"/>
    <w:rsid w:val="00E606B5"/>
    <w:rsid w:val="00E6624A"/>
    <w:rsid w:val="00E66E0B"/>
    <w:rsid w:val="00E722B9"/>
    <w:rsid w:val="00E749CF"/>
    <w:rsid w:val="00E752F7"/>
    <w:rsid w:val="00E8168C"/>
    <w:rsid w:val="00E844D4"/>
    <w:rsid w:val="00E942DD"/>
    <w:rsid w:val="00EA3D7E"/>
    <w:rsid w:val="00EA454A"/>
    <w:rsid w:val="00EA5A65"/>
    <w:rsid w:val="00ED0BCC"/>
    <w:rsid w:val="00EE5C53"/>
    <w:rsid w:val="00F01083"/>
    <w:rsid w:val="00F334BC"/>
    <w:rsid w:val="00F33EFC"/>
    <w:rsid w:val="00F34EE5"/>
    <w:rsid w:val="00F36AAA"/>
    <w:rsid w:val="00F425D2"/>
    <w:rsid w:val="00F553DE"/>
    <w:rsid w:val="00F820D0"/>
    <w:rsid w:val="00F85BDB"/>
    <w:rsid w:val="00F91311"/>
    <w:rsid w:val="00F96BEE"/>
    <w:rsid w:val="00FA5425"/>
    <w:rsid w:val="00FB5228"/>
    <w:rsid w:val="00FB5A78"/>
    <w:rsid w:val="00FC7D47"/>
    <w:rsid w:val="00FD054F"/>
    <w:rsid w:val="00FF01A3"/>
    <w:rsid w:val="00FF2812"/>
    <w:rsid w:val="0138499C"/>
    <w:rsid w:val="01CC1A40"/>
    <w:rsid w:val="02430D59"/>
    <w:rsid w:val="046441B2"/>
    <w:rsid w:val="0560642D"/>
    <w:rsid w:val="056C5A14"/>
    <w:rsid w:val="060A65E2"/>
    <w:rsid w:val="069B354B"/>
    <w:rsid w:val="069C3169"/>
    <w:rsid w:val="06A04BBF"/>
    <w:rsid w:val="079E620F"/>
    <w:rsid w:val="07B55A77"/>
    <w:rsid w:val="07D662FC"/>
    <w:rsid w:val="083C3EF2"/>
    <w:rsid w:val="087868BB"/>
    <w:rsid w:val="08DD4E30"/>
    <w:rsid w:val="09716DA9"/>
    <w:rsid w:val="09963FFC"/>
    <w:rsid w:val="09FC1600"/>
    <w:rsid w:val="0B2A3CDE"/>
    <w:rsid w:val="0B4811D4"/>
    <w:rsid w:val="0C2777AA"/>
    <w:rsid w:val="0C55752D"/>
    <w:rsid w:val="0D9A0C44"/>
    <w:rsid w:val="0ECE329B"/>
    <w:rsid w:val="0F380441"/>
    <w:rsid w:val="0FEB0667"/>
    <w:rsid w:val="101E54D9"/>
    <w:rsid w:val="104C1525"/>
    <w:rsid w:val="11297E47"/>
    <w:rsid w:val="11B55BC5"/>
    <w:rsid w:val="11C31604"/>
    <w:rsid w:val="12994D62"/>
    <w:rsid w:val="1333625E"/>
    <w:rsid w:val="14F63FA2"/>
    <w:rsid w:val="1537321C"/>
    <w:rsid w:val="154072A8"/>
    <w:rsid w:val="15DB62A6"/>
    <w:rsid w:val="15DF3B37"/>
    <w:rsid w:val="15FF5C15"/>
    <w:rsid w:val="17737B98"/>
    <w:rsid w:val="18ED2402"/>
    <w:rsid w:val="19187277"/>
    <w:rsid w:val="19516B70"/>
    <w:rsid w:val="1983413E"/>
    <w:rsid w:val="19A00D26"/>
    <w:rsid w:val="1B3455E2"/>
    <w:rsid w:val="1BCA6B98"/>
    <w:rsid w:val="1C08111B"/>
    <w:rsid w:val="1CB82E95"/>
    <w:rsid w:val="1D3F3149"/>
    <w:rsid w:val="1DE108A2"/>
    <w:rsid w:val="1EEA6C43"/>
    <w:rsid w:val="1FF825B9"/>
    <w:rsid w:val="20C81682"/>
    <w:rsid w:val="21717AB6"/>
    <w:rsid w:val="21D259FB"/>
    <w:rsid w:val="22771308"/>
    <w:rsid w:val="2302130E"/>
    <w:rsid w:val="24341F5D"/>
    <w:rsid w:val="244264BF"/>
    <w:rsid w:val="2472601F"/>
    <w:rsid w:val="24B60AEF"/>
    <w:rsid w:val="256A51F2"/>
    <w:rsid w:val="25993194"/>
    <w:rsid w:val="259F3D0B"/>
    <w:rsid w:val="25FD6643"/>
    <w:rsid w:val="260D24A3"/>
    <w:rsid w:val="27917147"/>
    <w:rsid w:val="28F93D9A"/>
    <w:rsid w:val="294206B6"/>
    <w:rsid w:val="29C20383"/>
    <w:rsid w:val="2A924D25"/>
    <w:rsid w:val="2AB71864"/>
    <w:rsid w:val="2B035969"/>
    <w:rsid w:val="2B556F5E"/>
    <w:rsid w:val="2CC53AB6"/>
    <w:rsid w:val="2CCF04B2"/>
    <w:rsid w:val="2CD60B6C"/>
    <w:rsid w:val="2E440A2C"/>
    <w:rsid w:val="2E754D1E"/>
    <w:rsid w:val="2EBA2A6C"/>
    <w:rsid w:val="2EDE2C2F"/>
    <w:rsid w:val="2F3A3BDD"/>
    <w:rsid w:val="2F673ED2"/>
    <w:rsid w:val="306B0709"/>
    <w:rsid w:val="309B4597"/>
    <w:rsid w:val="30C84BB8"/>
    <w:rsid w:val="31594282"/>
    <w:rsid w:val="31605B7D"/>
    <w:rsid w:val="31A45A83"/>
    <w:rsid w:val="31C12394"/>
    <w:rsid w:val="31C75126"/>
    <w:rsid w:val="31D64091"/>
    <w:rsid w:val="32090532"/>
    <w:rsid w:val="321C0E51"/>
    <w:rsid w:val="32C2756E"/>
    <w:rsid w:val="32F04CDF"/>
    <w:rsid w:val="3522008D"/>
    <w:rsid w:val="36527A5E"/>
    <w:rsid w:val="38D26357"/>
    <w:rsid w:val="3908045A"/>
    <w:rsid w:val="3A335D0B"/>
    <w:rsid w:val="3B1A42B0"/>
    <w:rsid w:val="3B3D2A8B"/>
    <w:rsid w:val="3C355FBE"/>
    <w:rsid w:val="3C53769C"/>
    <w:rsid w:val="3C9012E0"/>
    <w:rsid w:val="3CD92C87"/>
    <w:rsid w:val="3CFA0EDB"/>
    <w:rsid w:val="3D6B7E90"/>
    <w:rsid w:val="3D9A2844"/>
    <w:rsid w:val="3DB81767"/>
    <w:rsid w:val="3DC61AA5"/>
    <w:rsid w:val="3F2E4E8A"/>
    <w:rsid w:val="3F4F340E"/>
    <w:rsid w:val="3FA56D1A"/>
    <w:rsid w:val="3FF31966"/>
    <w:rsid w:val="40414DCB"/>
    <w:rsid w:val="42482502"/>
    <w:rsid w:val="424F3F3D"/>
    <w:rsid w:val="42D71389"/>
    <w:rsid w:val="43053809"/>
    <w:rsid w:val="434F2A37"/>
    <w:rsid w:val="43D27B8A"/>
    <w:rsid w:val="442C492F"/>
    <w:rsid w:val="444E7AB7"/>
    <w:rsid w:val="44583D18"/>
    <w:rsid w:val="44BA442D"/>
    <w:rsid w:val="45062140"/>
    <w:rsid w:val="45264590"/>
    <w:rsid w:val="459D739F"/>
    <w:rsid w:val="467073EF"/>
    <w:rsid w:val="47027644"/>
    <w:rsid w:val="480C2A26"/>
    <w:rsid w:val="48211BF5"/>
    <w:rsid w:val="494F67AB"/>
    <w:rsid w:val="4A0F35C1"/>
    <w:rsid w:val="4A58168F"/>
    <w:rsid w:val="4A705A43"/>
    <w:rsid w:val="4AD827D0"/>
    <w:rsid w:val="4BAF5095"/>
    <w:rsid w:val="4C58213A"/>
    <w:rsid w:val="4CBA5E10"/>
    <w:rsid w:val="4D6C63CA"/>
    <w:rsid w:val="4D7C0A21"/>
    <w:rsid w:val="4E402B66"/>
    <w:rsid w:val="4E83363A"/>
    <w:rsid w:val="4EF609BE"/>
    <w:rsid w:val="4F432AD0"/>
    <w:rsid w:val="4F4E4E0F"/>
    <w:rsid w:val="4F543B85"/>
    <w:rsid w:val="4F9B0875"/>
    <w:rsid w:val="5161702D"/>
    <w:rsid w:val="517F375D"/>
    <w:rsid w:val="52D95337"/>
    <w:rsid w:val="52DF7C7F"/>
    <w:rsid w:val="53156BAF"/>
    <w:rsid w:val="53847799"/>
    <w:rsid w:val="53F73EEB"/>
    <w:rsid w:val="54A106F7"/>
    <w:rsid w:val="550A5C7C"/>
    <w:rsid w:val="55875A48"/>
    <w:rsid w:val="56D831F7"/>
    <w:rsid w:val="57A657E1"/>
    <w:rsid w:val="59036432"/>
    <w:rsid w:val="5AC129BE"/>
    <w:rsid w:val="5ADF7263"/>
    <w:rsid w:val="5BD35139"/>
    <w:rsid w:val="5C5C6A15"/>
    <w:rsid w:val="5CE55F69"/>
    <w:rsid w:val="5D121B72"/>
    <w:rsid w:val="5D245AF4"/>
    <w:rsid w:val="5D573D1E"/>
    <w:rsid w:val="5E2B0DDA"/>
    <w:rsid w:val="5E367DB4"/>
    <w:rsid w:val="5EAF287D"/>
    <w:rsid w:val="5ED00EC3"/>
    <w:rsid w:val="5FEF558B"/>
    <w:rsid w:val="60A828C6"/>
    <w:rsid w:val="60F66ED2"/>
    <w:rsid w:val="61F95993"/>
    <w:rsid w:val="62E6619C"/>
    <w:rsid w:val="62EF3C7E"/>
    <w:rsid w:val="6329529D"/>
    <w:rsid w:val="63655D37"/>
    <w:rsid w:val="63C74D38"/>
    <w:rsid w:val="63FF5EC4"/>
    <w:rsid w:val="649F1631"/>
    <w:rsid w:val="64D42CB9"/>
    <w:rsid w:val="64FE29DC"/>
    <w:rsid w:val="6530163A"/>
    <w:rsid w:val="664A7DF4"/>
    <w:rsid w:val="666A3D48"/>
    <w:rsid w:val="667F18FA"/>
    <w:rsid w:val="66D96E19"/>
    <w:rsid w:val="67220C03"/>
    <w:rsid w:val="687508F7"/>
    <w:rsid w:val="68850F47"/>
    <w:rsid w:val="696A0640"/>
    <w:rsid w:val="6B560205"/>
    <w:rsid w:val="6C076680"/>
    <w:rsid w:val="6C517FC1"/>
    <w:rsid w:val="6C7A28E2"/>
    <w:rsid w:val="6CC30793"/>
    <w:rsid w:val="6F4013C2"/>
    <w:rsid w:val="6F631D08"/>
    <w:rsid w:val="6F912DCA"/>
    <w:rsid w:val="70DA4144"/>
    <w:rsid w:val="70E679F2"/>
    <w:rsid w:val="717D63F7"/>
    <w:rsid w:val="71836742"/>
    <w:rsid w:val="718B55F7"/>
    <w:rsid w:val="71AA255D"/>
    <w:rsid w:val="71EB39A1"/>
    <w:rsid w:val="721A4677"/>
    <w:rsid w:val="724C5EE3"/>
    <w:rsid w:val="72555F92"/>
    <w:rsid w:val="7258197D"/>
    <w:rsid w:val="726D7C7F"/>
    <w:rsid w:val="732857F3"/>
    <w:rsid w:val="742257EB"/>
    <w:rsid w:val="746D6559"/>
    <w:rsid w:val="74FB3D16"/>
    <w:rsid w:val="76946CFC"/>
    <w:rsid w:val="76C40651"/>
    <w:rsid w:val="7813315F"/>
    <w:rsid w:val="7855070D"/>
    <w:rsid w:val="78927D0A"/>
    <w:rsid w:val="793D183F"/>
    <w:rsid w:val="7A236D15"/>
    <w:rsid w:val="7A8E4BA7"/>
    <w:rsid w:val="7AD93877"/>
    <w:rsid w:val="7B467A1B"/>
    <w:rsid w:val="7B6E2211"/>
    <w:rsid w:val="7B7B511B"/>
    <w:rsid w:val="7C741A4B"/>
    <w:rsid w:val="7CA659DB"/>
    <w:rsid w:val="7CEC4587"/>
    <w:rsid w:val="7D79532E"/>
    <w:rsid w:val="7DC21D9D"/>
    <w:rsid w:val="7DC76EE5"/>
    <w:rsid w:val="7F262533"/>
    <w:rsid w:val="7F8A2B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3D5297"/>
  <w15:docId w15:val="{5D5B997E-CE7A-41FB-AB9F-3BD225123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autoRedefine/>
    <w:qFormat/>
    <w:pPr>
      <w:widowControl w:val="0"/>
      <w:spacing w:line="360" w:lineRule="auto"/>
      <w:ind w:firstLineChars="200" w:firstLine="640"/>
      <w:jc w:val="both"/>
    </w:pPr>
    <w:rPr>
      <w:rFonts w:eastAsia="仿宋"/>
      <w:kern w:val="2"/>
      <w:sz w:val="32"/>
      <w:szCs w:val="32"/>
      <w14:ligatures w14:val="standardContextual"/>
    </w:rPr>
  </w:style>
  <w:style w:type="paragraph" w:styleId="1">
    <w:name w:val="heading 1"/>
    <w:basedOn w:val="a5"/>
    <w:next w:val="a5"/>
    <w:qFormat/>
    <w:pPr>
      <w:keepNext/>
      <w:keepLines/>
      <w:spacing w:before="240" w:after="240" w:line="480" w:lineRule="auto"/>
      <w:outlineLvl w:val="0"/>
    </w:pPr>
    <w:rPr>
      <w:b/>
      <w:bCs/>
      <w:kern w:val="44"/>
      <w:szCs w:val="44"/>
    </w:rPr>
  </w:style>
  <w:style w:type="paragraph" w:styleId="2">
    <w:name w:val="heading 2"/>
    <w:basedOn w:val="a5"/>
    <w:next w:val="a5"/>
    <w:link w:val="20"/>
    <w:autoRedefine/>
    <w:uiPriority w:val="9"/>
    <w:unhideWhenUsed/>
    <w:qFormat/>
    <w:pPr>
      <w:keepNext/>
      <w:keepLines/>
      <w:adjustRightInd w:val="0"/>
      <w:snapToGrid w:val="0"/>
      <w:ind w:firstLine="643"/>
      <w:outlineLvl w:val="1"/>
    </w:pPr>
    <w:rPr>
      <w:rFonts w:ascii="宋体" w:eastAsia="宋体" w:hAnsi="宋体" w:cstheme="majorBidi"/>
      <w:b/>
      <w:bCs/>
    </w:rPr>
  </w:style>
  <w:style w:type="paragraph" w:styleId="3">
    <w:name w:val="heading 3"/>
    <w:basedOn w:val="a5"/>
    <w:next w:val="a5"/>
    <w:link w:val="30"/>
    <w:autoRedefine/>
    <w:uiPriority w:val="9"/>
    <w:semiHidden/>
    <w:unhideWhenUsed/>
    <w:qFormat/>
    <w:pPr>
      <w:keepNext/>
      <w:keepLines/>
      <w:spacing w:before="260" w:after="260" w:line="416" w:lineRule="auto"/>
      <w:outlineLvl w:val="2"/>
    </w:pPr>
    <w:rPr>
      <w:b/>
      <w:bCs/>
    </w:rPr>
  </w:style>
  <w:style w:type="paragraph" w:styleId="4">
    <w:name w:val="heading 4"/>
    <w:basedOn w:val="a5"/>
    <w:next w:val="a5"/>
    <w:link w:val="40"/>
    <w:autoRedefine/>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table of authorities"/>
    <w:basedOn w:val="a5"/>
    <w:next w:val="a5"/>
    <w:autoRedefine/>
    <w:uiPriority w:val="99"/>
    <w:semiHidden/>
    <w:unhideWhenUsed/>
    <w:qFormat/>
    <w:pPr>
      <w:ind w:leftChars="200" w:left="420"/>
    </w:pPr>
  </w:style>
  <w:style w:type="paragraph" w:styleId="aa">
    <w:name w:val="annotation text"/>
    <w:basedOn w:val="a5"/>
    <w:link w:val="ab"/>
    <w:autoRedefine/>
    <w:uiPriority w:val="99"/>
    <w:semiHidden/>
    <w:unhideWhenUsed/>
    <w:qFormat/>
    <w:pPr>
      <w:jc w:val="left"/>
    </w:pPr>
  </w:style>
  <w:style w:type="paragraph" w:styleId="ac">
    <w:name w:val="Date"/>
    <w:basedOn w:val="a5"/>
    <w:next w:val="a5"/>
    <w:link w:val="ad"/>
    <w:uiPriority w:val="99"/>
    <w:semiHidden/>
    <w:unhideWhenUsed/>
    <w:qFormat/>
    <w:pPr>
      <w:ind w:leftChars="2500" w:left="100"/>
    </w:pPr>
  </w:style>
  <w:style w:type="paragraph" w:styleId="ae">
    <w:name w:val="footer"/>
    <w:basedOn w:val="a5"/>
    <w:link w:val="af"/>
    <w:autoRedefine/>
    <w:uiPriority w:val="99"/>
    <w:unhideWhenUsed/>
    <w:qFormat/>
    <w:pPr>
      <w:tabs>
        <w:tab w:val="center" w:pos="4153"/>
        <w:tab w:val="right" w:pos="8306"/>
      </w:tabs>
      <w:snapToGrid w:val="0"/>
      <w:jc w:val="left"/>
    </w:pPr>
    <w:rPr>
      <w:sz w:val="18"/>
      <w:szCs w:val="18"/>
    </w:rPr>
  </w:style>
  <w:style w:type="paragraph" w:styleId="af0">
    <w:name w:val="header"/>
    <w:basedOn w:val="a5"/>
    <w:link w:val="af1"/>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5"/>
    <w:next w:val="a5"/>
    <w:uiPriority w:val="39"/>
    <w:unhideWhenUsed/>
    <w:qFormat/>
  </w:style>
  <w:style w:type="paragraph" w:styleId="af2">
    <w:name w:val="footnote text"/>
    <w:basedOn w:val="a5"/>
    <w:uiPriority w:val="99"/>
    <w:semiHidden/>
    <w:unhideWhenUsed/>
    <w:qFormat/>
    <w:pPr>
      <w:snapToGrid w:val="0"/>
      <w:jc w:val="left"/>
    </w:pPr>
    <w:rPr>
      <w:sz w:val="18"/>
      <w:szCs w:val="18"/>
    </w:rPr>
  </w:style>
  <w:style w:type="paragraph" w:styleId="TOC2">
    <w:name w:val="toc 2"/>
    <w:basedOn w:val="a5"/>
    <w:next w:val="a5"/>
    <w:uiPriority w:val="39"/>
    <w:unhideWhenUsed/>
    <w:qFormat/>
    <w:pPr>
      <w:ind w:leftChars="200" w:left="420"/>
    </w:pPr>
  </w:style>
  <w:style w:type="paragraph" w:styleId="af3">
    <w:name w:val="Normal (Web)"/>
    <w:basedOn w:val="a5"/>
    <w:qFormat/>
    <w:pPr>
      <w:widowControl/>
      <w:spacing w:before="100" w:beforeAutospacing="1" w:after="100" w:afterAutospacing="1"/>
      <w:jc w:val="left"/>
    </w:pPr>
    <w:rPr>
      <w:rFonts w:ascii="宋体" w:hAnsi="宋体"/>
      <w:kern w:val="0"/>
      <w:sz w:val="24"/>
    </w:rPr>
  </w:style>
  <w:style w:type="paragraph" w:styleId="af4">
    <w:name w:val="annotation subject"/>
    <w:basedOn w:val="aa"/>
    <w:next w:val="aa"/>
    <w:link w:val="af5"/>
    <w:autoRedefine/>
    <w:uiPriority w:val="99"/>
    <w:semiHidden/>
    <w:unhideWhenUsed/>
    <w:qFormat/>
    <w:rPr>
      <w:b/>
      <w:bCs/>
    </w:rPr>
  </w:style>
  <w:style w:type="table" w:styleId="af6">
    <w:name w:val="Table Grid"/>
    <w:basedOn w:val="a7"/>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basedOn w:val="a6"/>
    <w:uiPriority w:val="22"/>
    <w:qFormat/>
    <w:rPr>
      <w:b/>
    </w:rPr>
  </w:style>
  <w:style w:type="character" w:styleId="af8">
    <w:name w:val="page number"/>
    <w:basedOn w:val="a6"/>
    <w:autoRedefine/>
    <w:qFormat/>
    <w:rPr>
      <w:rFonts w:ascii="Calibri" w:eastAsia="Times New Roman" w:hAnsi="Calibri" w:cs="Times New Roman"/>
      <w:sz w:val="21"/>
      <w:szCs w:val="18"/>
    </w:rPr>
  </w:style>
  <w:style w:type="character" w:styleId="af9">
    <w:name w:val="Hyperlink"/>
    <w:basedOn w:val="a6"/>
    <w:autoRedefine/>
    <w:uiPriority w:val="99"/>
    <w:unhideWhenUsed/>
    <w:qFormat/>
    <w:rPr>
      <w:color w:val="0000FF"/>
      <w:u w:val="single"/>
    </w:rPr>
  </w:style>
  <w:style w:type="character" w:styleId="afa">
    <w:name w:val="annotation reference"/>
    <w:basedOn w:val="a6"/>
    <w:autoRedefine/>
    <w:uiPriority w:val="99"/>
    <w:semiHidden/>
    <w:unhideWhenUsed/>
    <w:qFormat/>
    <w:rPr>
      <w:sz w:val="21"/>
      <w:szCs w:val="21"/>
    </w:rPr>
  </w:style>
  <w:style w:type="character" w:styleId="afb">
    <w:name w:val="footnote reference"/>
    <w:basedOn w:val="a6"/>
    <w:uiPriority w:val="99"/>
    <w:semiHidden/>
    <w:unhideWhenUsed/>
    <w:qFormat/>
    <w:rPr>
      <w:vertAlign w:val="superscript"/>
    </w:rPr>
  </w:style>
  <w:style w:type="paragraph" w:customStyle="1" w:styleId="afc">
    <w:name w:val="报告正文"/>
    <w:link w:val="Char"/>
    <w:autoRedefine/>
    <w:qFormat/>
    <w:pPr>
      <w:widowControl w:val="0"/>
      <w:spacing w:line="360" w:lineRule="auto"/>
      <w:ind w:firstLineChars="200" w:firstLine="200"/>
      <w:jc w:val="both"/>
    </w:pPr>
    <w:rPr>
      <w:rFonts w:ascii="宋体" w:eastAsia="仿宋" w:hAnsi="宋体" w:cstheme="minorBidi"/>
      <w:bCs/>
      <w:kern w:val="44"/>
      <w:sz w:val="28"/>
      <w:szCs w:val="44"/>
      <w14:ligatures w14:val="standardContextual"/>
    </w:rPr>
  </w:style>
  <w:style w:type="character" w:customStyle="1" w:styleId="Char">
    <w:name w:val="报告正文 Char"/>
    <w:link w:val="afc"/>
    <w:qFormat/>
    <w:locked/>
    <w:rPr>
      <w:rFonts w:ascii="宋体" w:eastAsia="仿宋" w:hAnsi="宋体"/>
      <w:bCs/>
      <w:kern w:val="44"/>
      <w:sz w:val="28"/>
      <w:szCs w:val="44"/>
    </w:rPr>
  </w:style>
  <w:style w:type="paragraph" w:customStyle="1" w:styleId="afd">
    <w:name w:val="表格内"/>
    <w:basedOn w:val="a5"/>
    <w:link w:val="afe"/>
    <w:autoRedefine/>
    <w:qFormat/>
    <w:pPr>
      <w:widowControl/>
      <w:adjustRightInd w:val="0"/>
      <w:contextualSpacing/>
      <w:jc w:val="left"/>
    </w:pPr>
    <w:rPr>
      <w:rFonts w:eastAsia="楷体"/>
      <w:sz w:val="24"/>
      <w:szCs w:val="28"/>
    </w:rPr>
  </w:style>
  <w:style w:type="character" w:customStyle="1" w:styleId="afe">
    <w:name w:val="表格内 字符"/>
    <w:basedOn w:val="a6"/>
    <w:link w:val="afd"/>
    <w:autoRedefine/>
    <w:qFormat/>
    <w:rPr>
      <w:rFonts w:eastAsia="楷体"/>
      <w:sz w:val="24"/>
      <w:szCs w:val="28"/>
    </w:rPr>
  </w:style>
  <w:style w:type="paragraph" w:customStyle="1" w:styleId="31">
    <w:name w:val="报告标题3"/>
    <w:basedOn w:val="3"/>
    <w:link w:val="32"/>
    <w:autoRedefine/>
    <w:qFormat/>
    <w:pPr>
      <w:widowControl/>
      <w:spacing w:before="0" w:after="0" w:line="360" w:lineRule="auto"/>
      <w:ind w:firstLine="200"/>
      <w:jc w:val="left"/>
    </w:pPr>
    <w:rPr>
      <w:rFonts w:ascii="Calibri" w:hAnsi="Calibri"/>
      <w:b w:val="0"/>
      <w:color w:val="000000"/>
      <w:sz w:val="28"/>
    </w:rPr>
  </w:style>
  <w:style w:type="character" w:customStyle="1" w:styleId="32">
    <w:name w:val="报告标题3 字符"/>
    <w:basedOn w:val="a6"/>
    <w:link w:val="31"/>
    <w:autoRedefine/>
    <w:qFormat/>
    <w:rPr>
      <w:rFonts w:ascii="Calibri" w:hAnsi="Calibri"/>
      <w:bCs/>
      <w:color w:val="000000"/>
      <w:sz w:val="28"/>
      <w:szCs w:val="32"/>
    </w:rPr>
  </w:style>
  <w:style w:type="character" w:customStyle="1" w:styleId="30">
    <w:name w:val="标题 3 字符"/>
    <w:basedOn w:val="a6"/>
    <w:link w:val="3"/>
    <w:autoRedefine/>
    <w:uiPriority w:val="9"/>
    <w:semiHidden/>
    <w:qFormat/>
    <w:rPr>
      <w:b/>
      <w:bCs/>
      <w:sz w:val="32"/>
      <w:szCs w:val="32"/>
    </w:rPr>
  </w:style>
  <w:style w:type="paragraph" w:customStyle="1" w:styleId="41">
    <w:name w:val="标题4"/>
    <w:basedOn w:val="4"/>
    <w:link w:val="42"/>
    <w:autoRedefine/>
    <w:qFormat/>
    <w:pPr>
      <w:widowControl/>
      <w:jc w:val="left"/>
    </w:pPr>
    <w:rPr>
      <w:rFonts w:ascii="Cambria" w:eastAsia="仿宋" w:hAnsi="Cambria" w:cs="Times New Roman"/>
      <w:color w:val="000000"/>
    </w:rPr>
  </w:style>
  <w:style w:type="character" w:customStyle="1" w:styleId="42">
    <w:name w:val="标题4 字符"/>
    <w:basedOn w:val="a6"/>
    <w:link w:val="41"/>
    <w:autoRedefine/>
    <w:qFormat/>
    <w:rPr>
      <w:rFonts w:ascii="Cambria" w:eastAsia="仿宋" w:hAnsi="Cambria" w:cs="Times New Roman"/>
      <w:b/>
      <w:bCs/>
      <w:color w:val="000000"/>
      <w:sz w:val="28"/>
      <w:szCs w:val="28"/>
    </w:rPr>
  </w:style>
  <w:style w:type="character" w:customStyle="1" w:styleId="40">
    <w:name w:val="标题 4 字符"/>
    <w:basedOn w:val="a6"/>
    <w:link w:val="4"/>
    <w:autoRedefine/>
    <w:uiPriority w:val="9"/>
    <w:semiHidden/>
    <w:qFormat/>
    <w:rPr>
      <w:rFonts w:asciiTheme="majorHAnsi" w:eastAsiaTheme="majorEastAsia" w:hAnsiTheme="majorHAnsi" w:cstheme="majorBidi"/>
      <w:b/>
      <w:bCs/>
      <w:sz w:val="28"/>
      <w:szCs w:val="28"/>
    </w:rPr>
  </w:style>
  <w:style w:type="paragraph" w:customStyle="1" w:styleId="aff">
    <w:name w:val="图标题"/>
    <w:basedOn w:val="a5"/>
    <w:next w:val="a5"/>
    <w:link w:val="aff0"/>
    <w:autoRedefine/>
    <w:qFormat/>
    <w:pPr>
      <w:widowControl/>
      <w:snapToGrid w:val="0"/>
      <w:jc w:val="center"/>
    </w:pPr>
    <w:rPr>
      <w:rFonts w:eastAsia="楷体"/>
      <w:sz w:val="18"/>
    </w:rPr>
  </w:style>
  <w:style w:type="character" w:customStyle="1" w:styleId="aff0">
    <w:name w:val="图标题 字符"/>
    <w:basedOn w:val="a6"/>
    <w:link w:val="aff"/>
    <w:autoRedefine/>
    <w:qFormat/>
    <w:rPr>
      <w:rFonts w:eastAsia="楷体"/>
      <w:sz w:val="18"/>
    </w:rPr>
  </w:style>
  <w:style w:type="paragraph" w:customStyle="1" w:styleId="10">
    <w:name w:val="目录1"/>
    <w:basedOn w:val="afc"/>
    <w:link w:val="11"/>
    <w:autoRedefine/>
    <w:qFormat/>
    <w:pPr>
      <w:ind w:firstLineChars="0" w:firstLine="0"/>
    </w:pPr>
    <w:rPr>
      <w:sz w:val="24"/>
    </w:rPr>
  </w:style>
  <w:style w:type="character" w:customStyle="1" w:styleId="11">
    <w:name w:val="目录1 字符"/>
    <w:basedOn w:val="Char"/>
    <w:link w:val="10"/>
    <w:autoRedefine/>
    <w:qFormat/>
    <w:rPr>
      <w:rFonts w:ascii="宋体" w:eastAsia="仿宋" w:hAnsi="宋体"/>
      <w:bCs/>
      <w:kern w:val="44"/>
      <w:sz w:val="24"/>
      <w:szCs w:val="44"/>
    </w:rPr>
  </w:style>
  <w:style w:type="paragraph" w:customStyle="1" w:styleId="aff1">
    <w:name w:val="目录"/>
    <w:basedOn w:val="a9"/>
    <w:link w:val="aff2"/>
    <w:autoRedefine/>
    <w:qFormat/>
    <w:pPr>
      <w:ind w:left="200"/>
    </w:pPr>
    <w:rPr>
      <w:sz w:val="24"/>
    </w:rPr>
  </w:style>
  <w:style w:type="character" w:customStyle="1" w:styleId="aff2">
    <w:name w:val="目录 字符"/>
    <w:basedOn w:val="a6"/>
    <w:link w:val="aff1"/>
    <w:autoRedefine/>
    <w:qFormat/>
    <w:rPr>
      <w:rFonts w:eastAsia="宋体"/>
      <w:sz w:val="24"/>
    </w:rPr>
  </w:style>
  <w:style w:type="character" w:customStyle="1" w:styleId="20">
    <w:name w:val="标题 2 字符"/>
    <w:basedOn w:val="a6"/>
    <w:link w:val="2"/>
    <w:autoRedefine/>
    <w:uiPriority w:val="9"/>
    <w:qFormat/>
    <w:rPr>
      <w:rFonts w:ascii="宋体" w:hAnsi="宋体" w:cstheme="majorBidi"/>
      <w:b/>
      <w:bCs/>
      <w:kern w:val="2"/>
      <w:sz w:val="32"/>
      <w:szCs w:val="32"/>
      <w14:ligatures w14:val="standardContextual"/>
    </w:rPr>
  </w:style>
  <w:style w:type="character" w:customStyle="1" w:styleId="fontstyle01">
    <w:name w:val="fontstyle01"/>
    <w:basedOn w:val="a6"/>
    <w:autoRedefine/>
    <w:qFormat/>
    <w:rPr>
      <w:rFonts w:ascii="宋体" w:eastAsia="宋体" w:hAnsi="宋体" w:cs="Times New Roman" w:hint="eastAsia"/>
      <w:color w:val="000000"/>
      <w:sz w:val="20"/>
      <w:szCs w:val="20"/>
    </w:rPr>
  </w:style>
  <w:style w:type="paragraph" w:customStyle="1" w:styleId="12">
    <w:name w:val="修订1"/>
    <w:autoRedefine/>
    <w:hidden/>
    <w:uiPriority w:val="99"/>
    <w:semiHidden/>
    <w:qFormat/>
    <w:rPr>
      <w:kern w:val="2"/>
      <w:sz w:val="21"/>
      <w:szCs w:val="24"/>
      <w14:ligatures w14:val="standardContextual"/>
    </w:rPr>
  </w:style>
  <w:style w:type="character" w:customStyle="1" w:styleId="13">
    <w:name w:val="未处理的提及1"/>
    <w:basedOn w:val="a6"/>
    <w:autoRedefine/>
    <w:uiPriority w:val="99"/>
    <w:semiHidden/>
    <w:unhideWhenUsed/>
    <w:qFormat/>
    <w:rPr>
      <w:color w:val="605E5C"/>
      <w:shd w:val="clear" w:color="auto" w:fill="E1DFDD"/>
    </w:rPr>
  </w:style>
  <w:style w:type="paragraph" w:customStyle="1" w:styleId="aff3">
    <w:name w:val="标准文件_段"/>
    <w:link w:val="Char0"/>
    <w:autoRedefine/>
    <w:qFormat/>
    <w:pPr>
      <w:autoSpaceDE w:val="0"/>
      <w:autoSpaceDN w:val="0"/>
      <w:ind w:firstLineChars="200" w:firstLine="200"/>
      <w:jc w:val="both"/>
    </w:pPr>
    <w:rPr>
      <w:rFonts w:ascii="宋体"/>
      <w:sz w:val="21"/>
    </w:rPr>
  </w:style>
  <w:style w:type="character" w:customStyle="1" w:styleId="Char0">
    <w:name w:val="标准文件_段 Char"/>
    <w:link w:val="aff3"/>
    <w:autoRedefine/>
    <w:qFormat/>
    <w:rPr>
      <w:rFonts w:ascii="宋体" w:eastAsia="宋体" w:hAnsi="Times New Roman" w:cs="Times New Roman"/>
      <w:kern w:val="0"/>
      <w:szCs w:val="20"/>
      <w14:ligatures w14:val="none"/>
    </w:rPr>
  </w:style>
  <w:style w:type="character" w:customStyle="1" w:styleId="af1">
    <w:name w:val="页眉 字符"/>
    <w:basedOn w:val="a6"/>
    <w:link w:val="af0"/>
    <w:autoRedefine/>
    <w:uiPriority w:val="99"/>
    <w:qFormat/>
    <w:rPr>
      <w:rFonts w:ascii="Times New Roman" w:eastAsia="宋体" w:hAnsi="Times New Roman" w:cs="Times New Roman"/>
      <w:sz w:val="18"/>
      <w:szCs w:val="18"/>
    </w:rPr>
  </w:style>
  <w:style w:type="character" w:customStyle="1" w:styleId="af">
    <w:name w:val="页脚 字符"/>
    <w:basedOn w:val="a6"/>
    <w:link w:val="ae"/>
    <w:autoRedefine/>
    <w:uiPriority w:val="99"/>
    <w:qFormat/>
    <w:rPr>
      <w:rFonts w:ascii="Times New Roman" w:eastAsia="宋体" w:hAnsi="Times New Roman" w:cs="Times New Roman"/>
      <w:sz w:val="18"/>
      <w:szCs w:val="18"/>
    </w:rPr>
  </w:style>
  <w:style w:type="paragraph" w:styleId="aff4">
    <w:name w:val="List Paragraph"/>
    <w:basedOn w:val="a5"/>
    <w:autoRedefine/>
    <w:uiPriority w:val="34"/>
    <w:qFormat/>
    <w:pPr>
      <w:ind w:firstLine="420"/>
    </w:pPr>
  </w:style>
  <w:style w:type="character" w:customStyle="1" w:styleId="ab">
    <w:name w:val="批注文字 字符"/>
    <w:basedOn w:val="a6"/>
    <w:link w:val="aa"/>
    <w:autoRedefine/>
    <w:uiPriority w:val="99"/>
    <w:semiHidden/>
    <w:qFormat/>
    <w:rPr>
      <w:rFonts w:ascii="Times New Roman" w:eastAsia="宋体" w:hAnsi="Times New Roman" w:cs="Times New Roman"/>
      <w:kern w:val="2"/>
      <w:sz w:val="21"/>
      <w:szCs w:val="24"/>
      <w14:ligatures w14:val="standardContextual"/>
    </w:rPr>
  </w:style>
  <w:style w:type="character" w:customStyle="1" w:styleId="af5">
    <w:name w:val="批注主题 字符"/>
    <w:basedOn w:val="ab"/>
    <w:link w:val="af4"/>
    <w:autoRedefine/>
    <w:uiPriority w:val="99"/>
    <w:semiHidden/>
    <w:qFormat/>
    <w:rPr>
      <w:rFonts w:ascii="Times New Roman" w:eastAsia="宋体" w:hAnsi="Times New Roman" w:cs="Times New Roman"/>
      <w:b/>
      <w:bCs/>
      <w:kern w:val="2"/>
      <w:sz w:val="21"/>
      <w:szCs w:val="24"/>
      <w14:ligatures w14:val="standardContextual"/>
    </w:rPr>
  </w:style>
  <w:style w:type="character" w:customStyle="1" w:styleId="textjayku">
    <w:name w:val="text_jayku"/>
    <w:basedOn w:val="a6"/>
    <w:autoRedefine/>
    <w:qFormat/>
  </w:style>
  <w:style w:type="paragraph" w:customStyle="1" w:styleId="21">
    <w:name w:val="修订2"/>
    <w:autoRedefine/>
    <w:hidden/>
    <w:uiPriority w:val="99"/>
    <w:semiHidden/>
    <w:qFormat/>
    <w:rPr>
      <w:kern w:val="2"/>
      <w:sz w:val="21"/>
      <w:szCs w:val="24"/>
      <w14:ligatures w14:val="standardContextual"/>
    </w:rPr>
  </w:style>
  <w:style w:type="paragraph" w:customStyle="1" w:styleId="a4">
    <w:name w:val="标准文件_二级条标题"/>
    <w:next w:val="aff3"/>
    <w:qFormat/>
    <w:pPr>
      <w:widowControl w:val="0"/>
      <w:numPr>
        <w:ilvl w:val="3"/>
        <w:numId w:val="1"/>
      </w:numPr>
      <w:spacing w:beforeLines="50" w:before="50" w:afterLines="50" w:after="50"/>
      <w:jc w:val="both"/>
      <w:outlineLvl w:val="2"/>
    </w:pPr>
    <w:rPr>
      <w:rFonts w:ascii="黑体" w:eastAsia="黑体"/>
      <w:sz w:val="21"/>
    </w:rPr>
  </w:style>
  <w:style w:type="table" w:customStyle="1" w:styleId="TableNormal1">
    <w:name w:val="Table Normal1"/>
    <w:semiHidden/>
    <w:unhideWhenUsed/>
    <w:qFormat/>
    <w:rPr>
      <w:rFonts w:ascii="Arial" w:eastAsia="等线" w:hAnsi="Arial" w:cs="Arial"/>
    </w:rPr>
    <w:tblPr>
      <w:tblCellMar>
        <w:top w:w="0" w:type="dxa"/>
        <w:left w:w="0" w:type="dxa"/>
        <w:bottom w:w="0" w:type="dxa"/>
        <w:right w:w="0" w:type="dxa"/>
      </w:tblCellMar>
    </w:tblPr>
  </w:style>
  <w:style w:type="paragraph" w:customStyle="1" w:styleId="a">
    <w:name w:val="章标题"/>
    <w:next w:val="aff5"/>
    <w:qFormat/>
    <w:pPr>
      <w:numPr>
        <w:numId w:val="2"/>
      </w:numPr>
      <w:spacing w:beforeLines="100" w:before="312" w:afterLines="100" w:after="312"/>
      <w:jc w:val="both"/>
      <w:outlineLvl w:val="1"/>
    </w:pPr>
    <w:rPr>
      <w:rFonts w:ascii="黑体" w:eastAsia="黑体"/>
      <w:sz w:val="21"/>
    </w:rPr>
  </w:style>
  <w:style w:type="paragraph" w:customStyle="1" w:styleId="aff5">
    <w:name w:val="段"/>
    <w:qFormat/>
    <w:pPr>
      <w:tabs>
        <w:tab w:val="center" w:pos="4201"/>
        <w:tab w:val="right" w:leader="dot" w:pos="9298"/>
      </w:tabs>
      <w:autoSpaceDE w:val="0"/>
      <w:autoSpaceDN w:val="0"/>
      <w:ind w:firstLineChars="200" w:firstLine="420"/>
      <w:jc w:val="both"/>
    </w:pPr>
    <w:rPr>
      <w:rFonts w:ascii="宋体"/>
      <w:sz w:val="21"/>
    </w:rPr>
  </w:style>
  <w:style w:type="paragraph" w:customStyle="1" w:styleId="a0">
    <w:name w:val="一级条标题"/>
    <w:next w:val="aff5"/>
    <w:qFormat/>
    <w:pPr>
      <w:numPr>
        <w:ilvl w:val="1"/>
        <w:numId w:val="2"/>
      </w:numPr>
      <w:spacing w:beforeLines="50" w:before="156" w:afterLines="50" w:after="156"/>
      <w:outlineLvl w:val="2"/>
    </w:pPr>
    <w:rPr>
      <w:rFonts w:ascii="黑体" w:eastAsia="黑体"/>
      <w:sz w:val="21"/>
      <w:szCs w:val="21"/>
    </w:rPr>
  </w:style>
  <w:style w:type="paragraph" w:customStyle="1" w:styleId="aff6">
    <w:name w:val="标准文件_术语条一"/>
    <w:basedOn w:val="aff7"/>
    <w:next w:val="aff3"/>
    <w:qFormat/>
  </w:style>
  <w:style w:type="paragraph" w:customStyle="1" w:styleId="aff7">
    <w:name w:val="标准文件_一级无标题"/>
    <w:basedOn w:val="a3"/>
    <w:qFormat/>
    <w:pPr>
      <w:spacing w:beforeLines="0" w:before="0" w:afterLines="0" w:after="0"/>
      <w:outlineLvl w:val="9"/>
    </w:pPr>
    <w:rPr>
      <w:rFonts w:ascii="宋体" w:eastAsia="宋体"/>
    </w:rPr>
  </w:style>
  <w:style w:type="paragraph" w:customStyle="1" w:styleId="a3">
    <w:name w:val="标准文件_一级条标题"/>
    <w:basedOn w:val="a2"/>
    <w:next w:val="aff3"/>
    <w:qFormat/>
    <w:pPr>
      <w:numPr>
        <w:ilvl w:val="2"/>
      </w:numPr>
      <w:spacing w:beforeLines="50" w:before="50" w:afterLines="50" w:after="50"/>
      <w:outlineLvl w:val="1"/>
    </w:pPr>
  </w:style>
  <w:style w:type="paragraph" w:customStyle="1" w:styleId="a2">
    <w:name w:val="标准文件_章标题"/>
    <w:next w:val="aff3"/>
    <w:qFormat/>
    <w:pPr>
      <w:numPr>
        <w:ilvl w:val="1"/>
        <w:numId w:val="1"/>
      </w:numPr>
      <w:spacing w:beforeLines="100" w:before="100" w:afterLines="100" w:after="100"/>
      <w:jc w:val="both"/>
      <w:outlineLvl w:val="0"/>
    </w:pPr>
    <w:rPr>
      <w:rFonts w:ascii="黑体" w:eastAsia="黑体"/>
      <w:sz w:val="21"/>
    </w:rPr>
  </w:style>
  <w:style w:type="table" w:customStyle="1" w:styleId="14">
    <w:name w:val="网格型1"/>
    <w:basedOn w:val="a7"/>
    <w:uiPriority w:val="39"/>
    <w:qFormat/>
    <w:rPr>
      <w:rFonts w:ascii="宋体"/>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1">
    <w:name w:val="标准文件_注×："/>
    <w:qFormat/>
    <w:pPr>
      <w:widowControl w:val="0"/>
      <w:numPr>
        <w:numId w:val="3"/>
      </w:numPr>
      <w:autoSpaceDE w:val="0"/>
      <w:autoSpaceDN w:val="0"/>
      <w:jc w:val="both"/>
    </w:pPr>
    <w:rPr>
      <w:rFonts w:ascii="宋体"/>
      <w:sz w:val="18"/>
      <w:szCs w:val="18"/>
    </w:rPr>
  </w:style>
  <w:style w:type="paragraph" w:customStyle="1" w:styleId="aff8">
    <w:name w:val="标准文件_二级无标题"/>
    <w:basedOn w:val="a4"/>
    <w:qFormat/>
    <w:pPr>
      <w:spacing w:beforeLines="0" w:before="0" w:afterLines="0" w:after="0"/>
      <w:outlineLvl w:val="9"/>
    </w:pPr>
    <w:rPr>
      <w:rFonts w:ascii="宋体" w:eastAsia="宋体"/>
    </w:rPr>
  </w:style>
  <w:style w:type="paragraph" w:customStyle="1" w:styleId="aff9">
    <w:name w:val="标准文件_封面实施日期"/>
    <w:basedOn w:val="a5"/>
    <w:qFormat/>
    <w:pPr>
      <w:adjustRightInd w:val="0"/>
      <w:spacing w:line="310" w:lineRule="exact"/>
      <w:jc w:val="right"/>
    </w:pPr>
    <w:rPr>
      <w:rFonts w:ascii="黑体" w:eastAsia="黑体" w:hAnsi="Calibri"/>
      <w:sz w:val="28"/>
      <w:szCs w:val="21"/>
      <w14:ligatures w14:val="none"/>
    </w:rPr>
  </w:style>
  <w:style w:type="paragraph" w:customStyle="1" w:styleId="affa">
    <w:name w:val="标准文件_三级条标题"/>
    <w:basedOn w:val="a4"/>
    <w:next w:val="aff3"/>
    <w:qFormat/>
    <w:pPr>
      <w:widowControl/>
      <w:numPr>
        <w:ilvl w:val="0"/>
        <w:numId w:val="0"/>
      </w:numPr>
      <w:ind w:left="567"/>
      <w:outlineLvl w:val="3"/>
    </w:pPr>
  </w:style>
  <w:style w:type="paragraph" w:customStyle="1" w:styleId="affb">
    <w:name w:val="标准文件_四级条标题"/>
    <w:next w:val="aff3"/>
    <w:qFormat/>
    <w:pPr>
      <w:widowControl w:val="0"/>
      <w:spacing w:beforeLines="50" w:before="50" w:afterLines="50" w:after="50"/>
      <w:jc w:val="both"/>
      <w:outlineLvl w:val="4"/>
    </w:pPr>
    <w:rPr>
      <w:rFonts w:ascii="黑体" w:eastAsia="黑体"/>
      <w:sz w:val="21"/>
    </w:rPr>
  </w:style>
  <w:style w:type="paragraph" w:customStyle="1" w:styleId="affc">
    <w:name w:val="标准文件_五级条标题"/>
    <w:next w:val="aff3"/>
    <w:qFormat/>
    <w:pPr>
      <w:widowControl w:val="0"/>
      <w:spacing w:beforeLines="50" w:before="50" w:afterLines="50" w:after="50"/>
      <w:jc w:val="both"/>
      <w:outlineLvl w:val="5"/>
    </w:pPr>
    <w:rPr>
      <w:rFonts w:ascii="黑体" w:eastAsia="黑体"/>
      <w:sz w:val="21"/>
    </w:rPr>
  </w:style>
  <w:style w:type="paragraph" w:customStyle="1" w:styleId="affd">
    <w:name w:val="前言标题"/>
    <w:next w:val="a5"/>
    <w:qFormat/>
    <w:pPr>
      <w:shd w:val="clear" w:color="FFFFFF" w:fill="FFFFFF"/>
      <w:spacing w:before="540" w:after="600"/>
      <w:jc w:val="center"/>
      <w:outlineLvl w:val="0"/>
    </w:pPr>
    <w:rPr>
      <w:rFonts w:ascii="黑体" w:eastAsia="黑体"/>
      <w:sz w:val="32"/>
    </w:rPr>
  </w:style>
  <w:style w:type="character" w:customStyle="1" w:styleId="ad">
    <w:name w:val="日期 字符"/>
    <w:basedOn w:val="a6"/>
    <w:link w:val="ac"/>
    <w:uiPriority w:val="99"/>
    <w:semiHidden/>
    <w:qFormat/>
    <w:rPr>
      <w:rFonts w:eastAsia="仿宋"/>
      <w:kern w:val="2"/>
      <w:sz w:val="32"/>
      <w:szCs w:val="32"/>
      <w14:ligatures w14:val="standardContextual"/>
    </w:rPr>
  </w:style>
  <w:style w:type="paragraph" w:styleId="affe">
    <w:name w:val="Revision"/>
    <w:hidden/>
    <w:uiPriority w:val="99"/>
    <w:unhideWhenUsed/>
    <w:rsid w:val="00B61089"/>
    <w:rPr>
      <w:rFonts w:eastAsia="仿宋"/>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81AABDD-7EE3-4CFE-BE01-E4F60A62329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21</Pages>
  <Words>5148</Words>
  <Characters>5355</Characters>
  <Application>Microsoft Office Word</Application>
  <DocSecurity>0</DocSecurity>
  <Lines>255</Lines>
  <Paragraphs>126</Paragraphs>
  <ScaleCrop>false</ScaleCrop>
  <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Zhiwei Tan</dc:creator>
  <cp:lastModifiedBy>Donghai Wang</cp:lastModifiedBy>
  <cp:revision>42</cp:revision>
  <cp:lastPrinted>2025-12-15T05:13:00Z</cp:lastPrinted>
  <dcterms:created xsi:type="dcterms:W3CDTF">2025-12-04T05:26:00Z</dcterms:created>
  <dcterms:modified xsi:type="dcterms:W3CDTF">2026-10-08T07:45:00Z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DD918B296B36412496B1A2B7E41DEF6A_13</vt:lpwstr>
  </property>
  <property fmtid="{D5CDD505-2E9C-101B-9397-08002B2CF9AE}" pid="4" name="KSOTemplateDocerSaveRecord">
    <vt:lpwstr>eyJoZGlkIjoiN2YwNDEwMzIxYjFhMDlkZmY2M2QzMmZmOTJkYjVhMTkiLCJ1c2VySWQiOiIzNzAyMjgxNTIifQ==</vt:lpwstr>
  </property>
</Properties>
</file>